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83FBB" w14:textId="4C4323A0" w:rsidR="00330958" w:rsidRDefault="00330958" w:rsidP="00E12077">
      <w:pPr>
        <w:pStyle w:val="Heading1"/>
        <w:spacing w:before="0" w:beforeAutospacing="0" w:after="0" w:afterAutospacing="0"/>
        <w:ind w:left="-288" w:right="-288"/>
        <w:rPr>
          <w:rFonts w:eastAsia="Times New Roman"/>
          <w:color w:val="800080"/>
          <w:sz w:val="40"/>
          <w:szCs w:val="40"/>
        </w:rPr>
      </w:pPr>
      <w:r>
        <w:rPr>
          <w:rFonts w:eastAsia="Times New Roman"/>
          <w:noProof/>
        </w:rPr>
        <w:drawing>
          <wp:inline distT="0" distB="0" distL="0" distR="0" wp14:anchorId="7328E690" wp14:editId="323F61E7">
            <wp:extent cx="735806" cy="342900"/>
            <wp:effectExtent l="0" t="0" r="7620" b="0"/>
            <wp:docPr id="2" name="Picture 2" descr="Description: Description: Description: Description: Description: Description: Description: Description: Description: Description: Description: UR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URSI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350" cy="372979"/>
                    </a:xfrm>
                    <a:prstGeom prst="rect">
                      <a:avLst/>
                    </a:prstGeom>
                    <a:noFill/>
                    <a:ln>
                      <a:noFill/>
                    </a:ln>
                  </pic:spPr>
                </pic:pic>
              </a:graphicData>
            </a:graphic>
          </wp:inline>
        </w:drawing>
      </w:r>
      <w:r>
        <w:rPr>
          <w:rFonts w:eastAsia="Times New Roman"/>
        </w:rPr>
        <w:t xml:space="preserve">  </w:t>
      </w:r>
      <w:r w:rsidRPr="00E12077">
        <w:rPr>
          <w:rFonts w:eastAsia="Times New Roman"/>
          <w:color w:val="800080"/>
          <w:sz w:val="40"/>
          <w:szCs w:val="40"/>
        </w:rPr>
        <w:t>URBS</w:t>
      </w:r>
      <w:r w:rsidR="00E12077">
        <w:rPr>
          <w:rFonts w:eastAsia="Times New Roman"/>
          <w:color w:val="800080"/>
          <w:sz w:val="40"/>
          <w:szCs w:val="40"/>
        </w:rPr>
        <w:t xml:space="preserve"> </w:t>
      </w:r>
      <w:r w:rsidRPr="00E12077">
        <w:rPr>
          <w:rFonts w:eastAsia="Times New Roman"/>
          <w:color w:val="800080"/>
          <w:sz w:val="40"/>
          <w:szCs w:val="40"/>
        </w:rPr>
        <w:t>66</w:t>
      </w:r>
      <w:r w:rsidR="00356C49" w:rsidRPr="00E12077">
        <w:rPr>
          <w:rFonts w:eastAsia="Times New Roman"/>
          <w:color w:val="800080"/>
          <w:sz w:val="40"/>
          <w:szCs w:val="40"/>
        </w:rPr>
        <w:t>2</w:t>
      </w:r>
      <w:r w:rsidRPr="00E12077">
        <w:rPr>
          <w:rFonts w:eastAsia="Times New Roman"/>
          <w:color w:val="800080"/>
          <w:sz w:val="40"/>
          <w:szCs w:val="40"/>
        </w:rPr>
        <w:t>—</w:t>
      </w:r>
      <w:r w:rsidR="00356C49" w:rsidRPr="00E12077">
        <w:rPr>
          <w:rFonts w:eastAsia="Times New Roman"/>
          <w:color w:val="800080"/>
          <w:sz w:val="40"/>
          <w:szCs w:val="40"/>
        </w:rPr>
        <w:t>Planning the Built Environment</w:t>
      </w:r>
    </w:p>
    <w:p w14:paraId="342FAA73" w14:textId="77777777" w:rsidR="006A14A3" w:rsidRDefault="006A14A3" w:rsidP="006A14A3">
      <w:pPr>
        <w:pStyle w:val="NormalWeb"/>
        <w:spacing w:before="0" w:beforeAutospacing="0" w:after="0" w:afterAutospacing="0"/>
        <w:ind w:left="2160" w:firstLine="720"/>
        <w:rPr>
          <w:bCs/>
        </w:rPr>
      </w:pPr>
      <w:r w:rsidRPr="006A14A3">
        <w:rPr>
          <w:b/>
          <w:bCs/>
          <w:color w:val="800080"/>
          <w:kern w:val="36"/>
          <w:sz w:val="28"/>
          <w:szCs w:val="28"/>
        </w:rPr>
        <w:t>Term:</w:t>
      </w:r>
      <w:r>
        <w:rPr>
          <w:b/>
          <w:bCs/>
        </w:rPr>
        <w:t xml:space="preserve">  </w:t>
      </w:r>
      <w:r>
        <w:rPr>
          <w:bCs/>
        </w:rPr>
        <w:t>Spring</w:t>
      </w:r>
      <w:r w:rsidRPr="00046002">
        <w:rPr>
          <w:bCs/>
        </w:rPr>
        <w:t>,</w:t>
      </w:r>
      <w:r>
        <w:rPr>
          <w:bCs/>
        </w:rPr>
        <w:t xml:space="preserve"> 2019     </w:t>
      </w:r>
    </w:p>
    <w:p w14:paraId="23AACB08" w14:textId="34C192B3" w:rsidR="006A14A3" w:rsidRPr="00E12077" w:rsidRDefault="006A14A3" w:rsidP="006A14A3">
      <w:pPr>
        <w:pStyle w:val="NormalWeb"/>
        <w:spacing w:before="0" w:beforeAutospacing="0" w:after="0" w:afterAutospacing="0"/>
        <w:ind w:left="1440"/>
      </w:pPr>
      <w:r w:rsidRPr="00046002">
        <w:rPr>
          <w:b/>
          <w:bCs/>
          <w:color w:val="800080"/>
          <w:kern w:val="36"/>
          <w:sz w:val="32"/>
          <w:szCs w:val="32"/>
        </w:rPr>
        <w:t>Instructor:</w:t>
      </w:r>
      <w:r>
        <w:t xml:space="preserve"> </w:t>
      </w:r>
      <w:hyperlink r:id="rId7" w:history="1">
        <w:r>
          <w:rPr>
            <w:rStyle w:val="Hyperlink"/>
          </w:rPr>
          <w:t>Tony Filipovitch</w:t>
        </w:r>
      </w:hyperlink>
      <w:r>
        <w:t xml:space="preserve">, 507-388-2264 (home) </w:t>
      </w:r>
    </w:p>
    <w:p w14:paraId="46BA8CD6" w14:textId="77777777" w:rsidR="00E12077" w:rsidRPr="006A14A3" w:rsidRDefault="00E12077" w:rsidP="00E12077">
      <w:pPr>
        <w:pStyle w:val="Heading1"/>
        <w:spacing w:before="0" w:beforeAutospacing="0" w:after="0" w:afterAutospacing="0"/>
        <w:ind w:left="-288" w:right="-288"/>
        <w:rPr>
          <w:rFonts w:eastAsia="Times New Roman"/>
          <w:color w:val="800080"/>
          <w:sz w:val="32"/>
          <w:szCs w:val="32"/>
        </w:rPr>
      </w:pPr>
    </w:p>
    <w:p w14:paraId="1B589746" w14:textId="6514E392" w:rsidR="006D6378" w:rsidRPr="00E12077" w:rsidRDefault="001B1284" w:rsidP="006A14A3">
      <w:pPr>
        <w:pStyle w:val="Heading1"/>
        <w:spacing w:before="0" w:beforeAutospacing="0" w:after="0" w:afterAutospacing="0"/>
        <w:jc w:val="center"/>
        <w:rPr>
          <w:rFonts w:eastAsia="Times New Roman"/>
          <w:color w:val="FF0000"/>
        </w:rPr>
      </w:pPr>
      <w:r>
        <w:rPr>
          <w:rFonts w:eastAsia="Times New Roman"/>
          <w:noProof/>
          <w:color w:val="FF0000"/>
        </w:rPr>
        <w:drawing>
          <wp:inline distT="0" distB="0" distL="0" distR="0" wp14:anchorId="4E9BBED2" wp14:editId="73932060">
            <wp:extent cx="4686300" cy="156101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c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45385" cy="1580697"/>
                    </a:xfrm>
                    <a:prstGeom prst="rect">
                      <a:avLst/>
                    </a:prstGeom>
                  </pic:spPr>
                </pic:pic>
              </a:graphicData>
            </a:graphic>
          </wp:inline>
        </w:drawing>
      </w:r>
    </w:p>
    <w:p w14:paraId="52F7C387" w14:textId="77777777" w:rsidR="00153E9A" w:rsidRDefault="00046002" w:rsidP="00153E9A">
      <w:pPr>
        <w:pStyle w:val="NormalWeb"/>
        <w:spacing w:before="0" w:beforeAutospacing="0" w:after="0" w:afterAutospacing="0"/>
      </w:pPr>
      <w:r w:rsidRPr="00046002">
        <w:rPr>
          <w:b/>
          <w:bCs/>
          <w:color w:val="800080"/>
          <w:kern w:val="36"/>
          <w:sz w:val="32"/>
          <w:szCs w:val="32"/>
        </w:rPr>
        <w:t>Office Hours:</w:t>
      </w:r>
      <w:r>
        <w:t xml:space="preserve">  </w:t>
      </w:r>
    </w:p>
    <w:p w14:paraId="218229A5" w14:textId="0614EA9D" w:rsidR="00E12077" w:rsidRDefault="00356C49" w:rsidP="00153E9A">
      <w:pPr>
        <w:pStyle w:val="NormalWeb"/>
        <w:spacing w:before="0" w:beforeAutospacing="0" w:after="0" w:afterAutospacing="0"/>
      </w:pPr>
      <w:r>
        <w:t>Since I am an adjunct, I do not have an office or regular office hours.</w:t>
      </w:r>
      <w:r w:rsidR="00046002">
        <w:t>  I am available</w:t>
      </w:r>
      <w:r>
        <w:t>, however,</w:t>
      </w:r>
      <w:r w:rsidR="00046002">
        <w:t xml:space="preserve"> </w:t>
      </w:r>
      <w:r>
        <w:t>most times</w:t>
      </w:r>
      <w:r w:rsidR="00046002">
        <w:t xml:space="preserve"> by appointment</w:t>
      </w:r>
      <w:r>
        <w:t xml:space="preserve"> (on or off-campus)</w:t>
      </w:r>
      <w:r w:rsidR="00046002">
        <w:t>.  I also check my e-mail daily (usually several times during the day), and have an answering machine on my home phone.  There is no reason to flounder around, unsure of what “he wants” or confused about what you are doing; and even if everything is going fine with the coursework, there is more to learning than completing the assignments.  I encourage you to visit me, in person or at a distance by phone or e-mail, many times during the course.</w:t>
      </w:r>
    </w:p>
    <w:p w14:paraId="6B7930F8" w14:textId="77777777" w:rsidR="00153E9A" w:rsidRPr="00E12077" w:rsidRDefault="00153E9A" w:rsidP="00153E9A">
      <w:pPr>
        <w:pStyle w:val="NormalWeb"/>
        <w:spacing w:before="0" w:beforeAutospacing="0" w:after="0" w:afterAutospacing="0"/>
      </w:pPr>
    </w:p>
    <w:p w14:paraId="2A31726E" w14:textId="77777777" w:rsidR="008B44DB" w:rsidRPr="00330958" w:rsidRDefault="008B44DB" w:rsidP="008B44DB">
      <w:pPr>
        <w:pStyle w:val="Heading2"/>
        <w:spacing w:before="0" w:beforeAutospacing="0" w:after="0" w:afterAutospacing="0"/>
        <w:rPr>
          <w:rFonts w:eastAsia="Times New Roman"/>
          <w:color w:val="800080"/>
          <w:kern w:val="36"/>
          <w:sz w:val="40"/>
          <w:szCs w:val="40"/>
        </w:rPr>
      </w:pPr>
      <w:r w:rsidRPr="00330958">
        <w:rPr>
          <w:rFonts w:eastAsia="Times New Roman"/>
          <w:color w:val="800080"/>
          <w:kern w:val="36"/>
          <w:sz w:val="40"/>
          <w:szCs w:val="40"/>
        </w:rPr>
        <w:t xml:space="preserve">Course Objectives: </w:t>
      </w:r>
    </w:p>
    <w:p w14:paraId="45FF9CEC" w14:textId="77777777" w:rsidR="008B44DB" w:rsidRDefault="008B44DB" w:rsidP="008B44DB">
      <w:pPr>
        <w:pStyle w:val="NormalWeb"/>
        <w:spacing w:before="0" w:beforeAutospacing="0" w:after="0" w:afterAutospacing="0"/>
      </w:pPr>
      <w:r>
        <w:t xml:space="preserve">This course is an applied study of the day-to-day activities of a municipal planning office.  For 80% of Americans, the city is where we live, work, and play.  Whether you pursue a public-sector career in urban affairs (in management or in planning), a private sector career in development or corporate public affairs, or a career in the non-profit sector, you will need to understand how a public planning shop works. </w:t>
      </w:r>
    </w:p>
    <w:p w14:paraId="7A33D958" w14:textId="77777777" w:rsidR="008B44DB" w:rsidRDefault="008B44DB" w:rsidP="008B44DB">
      <w:pPr>
        <w:pStyle w:val="NormalWeb"/>
        <w:spacing w:before="0" w:beforeAutospacing="0" w:after="0" w:afterAutospacing="0"/>
      </w:pPr>
      <w:r>
        <w:t xml:space="preserve">Two assumptions underlie this approach to the class: </w:t>
      </w:r>
    </w:p>
    <w:p w14:paraId="3225F1C4" w14:textId="77777777" w:rsidR="008B44DB" w:rsidRDefault="008B44DB" w:rsidP="008B44DB">
      <w:pPr>
        <w:numPr>
          <w:ilvl w:val="0"/>
          <w:numId w:val="3"/>
        </w:numPr>
      </w:pPr>
      <w:r>
        <w:t xml:space="preserve">that there are competing, equally valid approaches to the planning process, and </w:t>
      </w:r>
    </w:p>
    <w:p w14:paraId="74B8BC26" w14:textId="091111B9" w:rsidR="008B44DB" w:rsidRDefault="008B44DB" w:rsidP="008B44DB">
      <w:pPr>
        <w:numPr>
          <w:ilvl w:val="0"/>
          <w:numId w:val="3"/>
        </w:numPr>
      </w:pPr>
      <w:r>
        <w:t>that the planning process is a specific form of the policy-making process (and therefore</w:t>
      </w:r>
      <w:r w:rsidR="009B27B7">
        <w:t xml:space="preserve"> </w:t>
      </w:r>
      <w:r>
        <w:t xml:space="preserve">interesting to urban managers as well as urban planners and private-sector practitioners). </w:t>
      </w:r>
    </w:p>
    <w:p w14:paraId="6E16F6BD" w14:textId="77777777" w:rsidR="008B44DB" w:rsidRDefault="008B44DB" w:rsidP="008B44DB">
      <w:proofErr w:type="gramStart"/>
      <w:r>
        <w:t>However</w:t>
      </w:r>
      <w:proofErr w:type="gramEnd"/>
      <w:r>
        <w:t xml:space="preserve"> you go at it, the planning process essentially asks 3 questions:</w:t>
      </w:r>
    </w:p>
    <w:p w14:paraId="02049119" w14:textId="77777777" w:rsidR="008B44DB" w:rsidRDefault="008B44DB" w:rsidP="008B44DB">
      <w:pPr>
        <w:numPr>
          <w:ilvl w:val="0"/>
          <w:numId w:val="3"/>
        </w:numPr>
      </w:pPr>
      <w:r>
        <w:t>Where and what are we now?</w:t>
      </w:r>
    </w:p>
    <w:p w14:paraId="043F16DF" w14:textId="77777777" w:rsidR="008B44DB" w:rsidRDefault="008B44DB" w:rsidP="008B44DB">
      <w:pPr>
        <w:numPr>
          <w:ilvl w:val="0"/>
          <w:numId w:val="3"/>
        </w:numPr>
      </w:pPr>
      <w:r>
        <w:t>Where and what do we want to be?</w:t>
      </w:r>
    </w:p>
    <w:p w14:paraId="035D11A1" w14:textId="77777777" w:rsidR="008B44DB" w:rsidRDefault="008B44DB" w:rsidP="008B44DB">
      <w:pPr>
        <w:numPr>
          <w:ilvl w:val="0"/>
          <w:numId w:val="3"/>
        </w:numPr>
      </w:pPr>
      <w:r>
        <w:t>How do we get there?</w:t>
      </w:r>
    </w:p>
    <w:p w14:paraId="247A02D4" w14:textId="77777777" w:rsidR="008B44DB" w:rsidRDefault="008B44DB" w:rsidP="008B44DB">
      <w:pPr>
        <w:pStyle w:val="NormalWeb"/>
        <w:spacing w:before="0" w:beforeAutospacing="0" w:after="0" w:afterAutospacing="0"/>
      </w:pPr>
      <w:r>
        <w:t>By the end of the course, students should be able to:</w:t>
      </w:r>
    </w:p>
    <w:p w14:paraId="77CB562F" w14:textId="77777777" w:rsidR="008B44DB" w:rsidRDefault="008B44DB" w:rsidP="008B44DB">
      <w:pPr>
        <w:pStyle w:val="NormalWeb"/>
        <w:numPr>
          <w:ilvl w:val="0"/>
          <w:numId w:val="5"/>
        </w:numPr>
        <w:spacing w:before="0" w:beforeAutospacing="0" w:after="0" w:afterAutospacing="0"/>
      </w:pPr>
      <w:r>
        <w:t>Evaluate and use an AUAR (Minnesota’s “Alternative Urban Areawide Review”)</w:t>
      </w:r>
    </w:p>
    <w:p w14:paraId="4EB633D9" w14:textId="77777777" w:rsidR="008B44DB" w:rsidRDefault="008B44DB" w:rsidP="008B44DB">
      <w:pPr>
        <w:pStyle w:val="NormalWeb"/>
        <w:numPr>
          <w:ilvl w:val="0"/>
          <w:numId w:val="5"/>
        </w:numPr>
        <w:spacing w:before="0" w:beforeAutospacing="0" w:after="0" w:afterAutospacing="0"/>
      </w:pPr>
      <w:r>
        <w:t xml:space="preserve">Red-pencil a preliminary subdivision plat </w:t>
      </w:r>
    </w:p>
    <w:p w14:paraId="3EEFDF87" w14:textId="77777777" w:rsidR="008B44DB" w:rsidRDefault="008B44DB" w:rsidP="008B44DB">
      <w:pPr>
        <w:pStyle w:val="NormalWeb"/>
        <w:numPr>
          <w:ilvl w:val="0"/>
          <w:numId w:val="5"/>
        </w:numPr>
        <w:spacing w:before="0" w:beforeAutospacing="0" w:after="0" w:afterAutospacing="0"/>
      </w:pPr>
      <w:r>
        <w:t>Red-pencil a site plan</w:t>
      </w:r>
    </w:p>
    <w:p w14:paraId="135F13C4" w14:textId="77777777" w:rsidR="008B44DB" w:rsidRDefault="008B44DB" w:rsidP="008B44DB">
      <w:pPr>
        <w:pStyle w:val="NormalWeb"/>
        <w:numPr>
          <w:ilvl w:val="0"/>
          <w:numId w:val="5"/>
        </w:numPr>
        <w:spacing w:before="0" w:beforeAutospacing="0" w:after="0" w:afterAutospacing="0"/>
      </w:pPr>
      <w:r>
        <w:t>Write a planning/zoning report</w:t>
      </w:r>
    </w:p>
    <w:p w14:paraId="4185F1E3" w14:textId="77777777" w:rsidR="008B44DB" w:rsidRDefault="008B44DB" w:rsidP="008B44DB">
      <w:pPr>
        <w:pStyle w:val="NormalWeb"/>
        <w:numPr>
          <w:ilvl w:val="0"/>
          <w:numId w:val="5"/>
        </w:numPr>
        <w:spacing w:before="0" w:beforeAutospacing="0" w:after="0" w:afterAutospacing="0"/>
      </w:pPr>
      <w:r>
        <w:t>Estimate the public (and private) impacts of a development plan</w:t>
      </w:r>
    </w:p>
    <w:p w14:paraId="196CD07C" w14:textId="77777777" w:rsidR="009B27B7" w:rsidRDefault="009B27B7" w:rsidP="009B27B7">
      <w:pPr>
        <w:pStyle w:val="Heading2"/>
        <w:spacing w:before="0" w:beforeAutospacing="0" w:after="0" w:afterAutospacing="0"/>
        <w:rPr>
          <w:color w:val="FF0000"/>
        </w:rPr>
      </w:pPr>
      <w:bookmarkStart w:id="0" w:name="_Hlk533595460"/>
      <w:r w:rsidRPr="00330958">
        <w:rPr>
          <w:rFonts w:eastAsia="Times New Roman"/>
          <w:color w:val="800080"/>
          <w:kern w:val="36"/>
          <w:sz w:val="40"/>
          <w:szCs w:val="40"/>
        </w:rPr>
        <w:lastRenderedPageBreak/>
        <w:t>Instructional Methodology and Teaching Strategies:</w:t>
      </w:r>
      <w:r>
        <w:rPr>
          <w:color w:val="FF0000"/>
        </w:rPr>
        <w:t xml:space="preserve"> </w:t>
      </w:r>
    </w:p>
    <w:p w14:paraId="7E86D3A6" w14:textId="6E45EABB" w:rsidR="009B27B7" w:rsidRDefault="009B27B7" w:rsidP="009B27B7">
      <w:pPr>
        <w:pStyle w:val="NormalWeb"/>
        <w:spacing w:before="0" w:beforeAutospacing="0" w:after="0" w:afterAutospacing="0"/>
      </w:pPr>
      <w:r>
        <w:t>A variety of techniques will be employed throughout the course. There will be readings (lots of them) and occasional lectures and even a test, this course is heavily weighted to seminar-style discussion.  My teaching style is based on an "adult-centered" model which assumes that you are active participants, each responsible for your own learning, and I am a facilitator and resource who helps you advance your project. My goal for myself as a teacher is to "take you someplace you would never before have gone alone."  You might begin that journey by looking at “</w:t>
      </w:r>
      <w:hyperlink r:id="rId9" w:history="1">
        <w:r>
          <w:rPr>
            <w:rStyle w:val="Hyperlink"/>
          </w:rPr>
          <w:t>Five Easy Pieces</w:t>
        </w:r>
      </w:hyperlink>
      <w:r>
        <w:t>” assembled for your consideration.</w:t>
      </w:r>
    </w:p>
    <w:p w14:paraId="157286C3" w14:textId="77777777" w:rsidR="009B27B7" w:rsidRDefault="009B27B7" w:rsidP="009B27B7">
      <w:pPr>
        <w:pStyle w:val="NormalWeb"/>
        <w:numPr>
          <w:ilvl w:val="0"/>
          <w:numId w:val="7"/>
        </w:numPr>
      </w:pPr>
      <w:r>
        <w:t xml:space="preserve">The course will use </w:t>
      </w:r>
      <w:hyperlink r:id="rId10" w:history="1">
        <w:r>
          <w:rPr>
            <w:rStyle w:val="Hyperlink"/>
          </w:rPr>
          <w:t>D2L</w:t>
        </w:r>
      </w:hyperlink>
      <w:r>
        <w:t xml:space="preserve"> as the instructional management system.  Discussion lists, assignments, grade rosters, and other course management issues will be handled through that site.  </w:t>
      </w:r>
    </w:p>
    <w:p w14:paraId="65A89944" w14:textId="5365DFE6" w:rsidR="009B27B7" w:rsidRDefault="009B27B7" w:rsidP="009B27B7">
      <w:pPr>
        <w:pStyle w:val="NormalWeb"/>
        <w:numPr>
          <w:ilvl w:val="0"/>
          <w:numId w:val="7"/>
        </w:numPr>
      </w:pPr>
      <w:r>
        <w:t>I prefer to receive e-mail and course submissions to my e-mail address (not to D2L), and I can only open Microsoft Word or text files (if you are using</w:t>
      </w:r>
      <w:r w:rsidR="006A0E5D">
        <w:t xml:space="preserve"> other software</w:t>
      </w:r>
      <w:r>
        <w:t xml:space="preserve">, make sure to send any files to me in </w:t>
      </w:r>
      <w:r w:rsidR="006A0E5D">
        <w:t xml:space="preserve">.pdf, </w:t>
      </w:r>
      <w:r>
        <w:t xml:space="preserve">.txt or .rtf format).  </w:t>
      </w:r>
    </w:p>
    <w:p w14:paraId="100CA8E9" w14:textId="1F5A93E7" w:rsidR="009B27B7" w:rsidRDefault="009B27B7" w:rsidP="009B27B7">
      <w:pPr>
        <w:pStyle w:val="NormalWeb"/>
        <w:numPr>
          <w:ilvl w:val="0"/>
          <w:numId w:val="7"/>
        </w:numPr>
      </w:pPr>
      <w:r>
        <w:t xml:space="preserve">I will communicate with you using your official MSU e-mail address; if </w:t>
      </w:r>
      <w:r w:rsidR="006A0E5D">
        <w:t>you use something else</w:t>
      </w:r>
      <w:r>
        <w:t xml:space="preserve">, make sure </w:t>
      </w:r>
      <w:r w:rsidR="006A0E5D">
        <w:t>to</w:t>
      </w:r>
      <w:r>
        <w:t xml:space="preserve"> set your MSU e-mail account to forward to your preferred address (instructions are available from the help desk). </w:t>
      </w:r>
    </w:p>
    <w:p w14:paraId="50B8B900" w14:textId="442F470B" w:rsidR="009B27B7" w:rsidRDefault="009B27B7" w:rsidP="009B27B7">
      <w:pPr>
        <w:pStyle w:val="NormalWeb"/>
        <w:numPr>
          <w:ilvl w:val="0"/>
          <w:numId w:val="7"/>
        </w:numPr>
      </w:pPr>
      <w:r>
        <w:t xml:space="preserve">I generally will reply to e-mails within 48 hours (give me an additional 24 hours over the weekends), unless I have notified the class through D2L that I expect to be away from my computer.  If you do not hear from me within that time, please resend your question or comment as it may have been lost. </w:t>
      </w:r>
    </w:p>
    <w:p w14:paraId="381E585A" w14:textId="77777777" w:rsidR="009B27B7" w:rsidRPr="00330958" w:rsidRDefault="009B27B7" w:rsidP="009B27B7">
      <w:pPr>
        <w:pStyle w:val="Heading2"/>
        <w:spacing w:before="0" w:beforeAutospacing="0" w:after="0" w:afterAutospacing="0"/>
        <w:rPr>
          <w:rFonts w:eastAsia="Times New Roman"/>
          <w:color w:val="800080"/>
          <w:kern w:val="36"/>
          <w:sz w:val="40"/>
          <w:szCs w:val="40"/>
        </w:rPr>
      </w:pPr>
      <w:r w:rsidRPr="00330958">
        <w:rPr>
          <w:rFonts w:eastAsia="Times New Roman"/>
          <w:color w:val="800080"/>
          <w:kern w:val="36"/>
          <w:sz w:val="40"/>
          <w:szCs w:val="40"/>
        </w:rPr>
        <w:t xml:space="preserve">Text: </w:t>
      </w:r>
    </w:p>
    <w:p w14:paraId="7F303475" w14:textId="77777777" w:rsidR="009B27B7" w:rsidRDefault="009B27B7" w:rsidP="009B27B7">
      <w:pPr>
        <w:pStyle w:val="NormalWeb"/>
        <w:spacing w:before="0" w:beforeAutospacing="0" w:after="0" w:afterAutospacing="0"/>
      </w:pPr>
      <w:r>
        <w:t>There is no assigned text for this course (yet).  But there are several works that I would recommend you have for your library (you can get them used from online sellers):</w:t>
      </w:r>
    </w:p>
    <w:p w14:paraId="77595C72" w14:textId="77777777" w:rsidR="009B27B7" w:rsidRDefault="009B27B7" w:rsidP="009B27B7">
      <w:pPr>
        <w:pStyle w:val="NormalWeb"/>
        <w:numPr>
          <w:ilvl w:val="0"/>
          <w:numId w:val="14"/>
        </w:numPr>
        <w:spacing w:before="0" w:beforeAutospacing="0" w:after="0" w:afterAutospacing="0"/>
      </w:pPr>
      <w:r>
        <w:t xml:space="preserve">Anderson, </w:t>
      </w:r>
      <w:proofErr w:type="spellStart"/>
      <w:r>
        <w:t>Larz</w:t>
      </w:r>
      <w:proofErr w:type="spellEnd"/>
      <w:r>
        <w:t xml:space="preserve"> T. (2000</w:t>
      </w:r>
      <w:proofErr w:type="gramStart"/>
      <w:r>
        <w:t>)  Planning</w:t>
      </w:r>
      <w:proofErr w:type="gramEnd"/>
      <w:r>
        <w:t xml:space="preserve"> the Built Environment.  Washington, DC:  Planners Press.</w:t>
      </w:r>
    </w:p>
    <w:p w14:paraId="3A3C69A4" w14:textId="77777777" w:rsidR="009B27B7" w:rsidRDefault="009B27B7" w:rsidP="009B27B7">
      <w:pPr>
        <w:pStyle w:val="NormalWeb"/>
        <w:numPr>
          <w:ilvl w:val="0"/>
          <w:numId w:val="14"/>
        </w:numPr>
        <w:spacing w:before="0" w:beforeAutospacing="0" w:after="0" w:afterAutospacing="0"/>
      </w:pPr>
      <w:r>
        <w:t>Lynch, Kevin &amp; Gary Hack.  (1984</w:t>
      </w:r>
      <w:proofErr w:type="gramStart"/>
      <w:r>
        <w:t>)  Site</w:t>
      </w:r>
      <w:proofErr w:type="gramEnd"/>
      <w:r>
        <w:t xml:space="preserve"> Planning, 3</w:t>
      </w:r>
      <w:r w:rsidRPr="00356C49">
        <w:rPr>
          <w:vertAlign w:val="superscript"/>
        </w:rPr>
        <w:t>rd</w:t>
      </w:r>
      <w:r>
        <w:t xml:space="preserve"> Ed.  Cambridge, MA:  MIT Press.</w:t>
      </w:r>
    </w:p>
    <w:p w14:paraId="3AAD8588" w14:textId="77777777" w:rsidR="009B27B7" w:rsidRDefault="009B27B7" w:rsidP="009B27B7">
      <w:pPr>
        <w:pStyle w:val="NormalWeb"/>
        <w:numPr>
          <w:ilvl w:val="0"/>
          <w:numId w:val="14"/>
        </w:numPr>
        <w:spacing w:before="0" w:beforeAutospacing="0" w:after="0" w:afterAutospacing="0"/>
      </w:pPr>
      <w:r>
        <w:t>Solnit, Albert.  (1988</w:t>
      </w:r>
      <w:proofErr w:type="gramStart"/>
      <w:r>
        <w:t>)  The</w:t>
      </w:r>
      <w:proofErr w:type="gramEnd"/>
      <w:r>
        <w:t xml:space="preserve"> Job of the Practicing Planner.  Washington, DC:  Planners Press.</w:t>
      </w:r>
    </w:p>
    <w:p w14:paraId="2DE87ACA" w14:textId="77777777" w:rsidR="009B27B7" w:rsidRDefault="009B27B7" w:rsidP="009B27B7">
      <w:pPr>
        <w:pStyle w:val="NormalWeb"/>
        <w:numPr>
          <w:ilvl w:val="0"/>
          <w:numId w:val="14"/>
        </w:numPr>
        <w:spacing w:before="0" w:beforeAutospacing="0" w:after="0" w:afterAutospacing="0"/>
      </w:pPr>
      <w:r>
        <w:t>Steiner, Frederick &amp; Kent Butler.  (2007</w:t>
      </w:r>
      <w:proofErr w:type="gramStart"/>
      <w:r>
        <w:t>)  Planning</w:t>
      </w:r>
      <w:proofErr w:type="gramEnd"/>
      <w:r>
        <w:t xml:space="preserve"> and Urban Design Standards. Hoboken, NJ:  John Wiley &amp; Sons.</w:t>
      </w:r>
    </w:p>
    <w:p w14:paraId="4ABB5CB1" w14:textId="77777777" w:rsidR="009B27B7" w:rsidRDefault="009B27B7" w:rsidP="009B27B7">
      <w:pPr>
        <w:pStyle w:val="NormalWeb"/>
        <w:numPr>
          <w:ilvl w:val="0"/>
          <w:numId w:val="14"/>
        </w:numPr>
        <w:spacing w:before="0" w:beforeAutospacing="0" w:after="0" w:afterAutospacing="0"/>
      </w:pPr>
      <w:r>
        <w:t>Lin, Mike W. (1993</w:t>
      </w:r>
      <w:proofErr w:type="gramStart"/>
      <w:r>
        <w:t>)  Drawing</w:t>
      </w:r>
      <w:proofErr w:type="gramEnd"/>
      <w:r>
        <w:t xml:space="preserve"> and Designing with Confidence.  NY:  Van Nostrand Reinhold Co.</w:t>
      </w:r>
    </w:p>
    <w:p w14:paraId="10DFCCD1" w14:textId="77777777" w:rsidR="009B27B7" w:rsidRDefault="009B27B7" w:rsidP="009B27B7">
      <w:pPr>
        <w:pStyle w:val="NormalWeb"/>
        <w:numPr>
          <w:ilvl w:val="0"/>
          <w:numId w:val="14"/>
        </w:numPr>
        <w:spacing w:before="0" w:beforeAutospacing="0" w:after="0" w:afterAutospacing="0"/>
      </w:pPr>
      <w:r>
        <w:t>Hack, Gary and others.  (2009</w:t>
      </w:r>
      <w:proofErr w:type="gramStart"/>
      <w:r>
        <w:t>)  Local</w:t>
      </w:r>
      <w:proofErr w:type="gramEnd"/>
      <w:r>
        <w:t xml:space="preserve"> Planning:  Contemporary Principles and Practice.  Washington, DC:  ICMA Press.</w:t>
      </w:r>
    </w:p>
    <w:p w14:paraId="74C13195" w14:textId="77777777" w:rsidR="009B27B7" w:rsidRDefault="009B27B7" w:rsidP="009B27B7">
      <w:pPr>
        <w:pStyle w:val="NormalWeb"/>
        <w:numPr>
          <w:ilvl w:val="0"/>
          <w:numId w:val="14"/>
        </w:numPr>
        <w:spacing w:before="0" w:beforeAutospacing="0" w:after="0" w:afterAutospacing="0"/>
      </w:pPr>
      <w:proofErr w:type="spellStart"/>
      <w:r>
        <w:t>LaGro</w:t>
      </w:r>
      <w:proofErr w:type="spellEnd"/>
      <w:r>
        <w:t>, James A. Jr.  (2008</w:t>
      </w:r>
      <w:proofErr w:type="gramStart"/>
      <w:r>
        <w:t>)  Site</w:t>
      </w:r>
      <w:proofErr w:type="gramEnd"/>
      <w:r>
        <w:t xml:space="preserve"> Analysis, 2</w:t>
      </w:r>
      <w:r w:rsidRPr="00B572B9">
        <w:rPr>
          <w:vertAlign w:val="superscript"/>
        </w:rPr>
        <w:t>nd</w:t>
      </w:r>
      <w:r>
        <w:t xml:space="preserve"> Ed.  Hoboken, NJ:  John Wiley &amp; Sons.</w:t>
      </w:r>
    </w:p>
    <w:p w14:paraId="32982228" w14:textId="77777777" w:rsidR="009B27B7" w:rsidRDefault="009B27B7" w:rsidP="009B27B7">
      <w:pPr>
        <w:pStyle w:val="NormalWeb"/>
        <w:numPr>
          <w:ilvl w:val="0"/>
          <w:numId w:val="14"/>
        </w:numPr>
        <w:spacing w:before="0" w:beforeAutospacing="0" w:after="0" w:afterAutospacing="0"/>
      </w:pPr>
      <w:r>
        <w:t>Brooks, R. Gene &amp; David W. Lestage.  (2012</w:t>
      </w:r>
      <w:proofErr w:type="gramStart"/>
      <w:r>
        <w:t>)  Before</w:t>
      </w:r>
      <w:proofErr w:type="gramEnd"/>
      <w:r>
        <w:t xml:space="preserve"> Building:  Site Planning in the Digital Age.  Boston, MA:  Prentice Hall.</w:t>
      </w:r>
    </w:p>
    <w:p w14:paraId="11632A48" w14:textId="77777777" w:rsidR="009B27B7" w:rsidRDefault="009B27B7" w:rsidP="009B27B7">
      <w:pPr>
        <w:pStyle w:val="NormalWeb"/>
        <w:numPr>
          <w:ilvl w:val="0"/>
          <w:numId w:val="14"/>
        </w:numPr>
        <w:spacing w:before="0" w:beforeAutospacing="0" w:after="0" w:afterAutospacing="0"/>
      </w:pPr>
      <w:proofErr w:type="spellStart"/>
      <w:r>
        <w:t>DeChiara</w:t>
      </w:r>
      <w:proofErr w:type="spellEnd"/>
      <w:r>
        <w:t xml:space="preserve">, Joseph &amp; Lee </w:t>
      </w:r>
      <w:proofErr w:type="spellStart"/>
      <w:r>
        <w:t>Koppelman</w:t>
      </w:r>
      <w:proofErr w:type="spellEnd"/>
      <w:r>
        <w:t>.  (1975</w:t>
      </w:r>
      <w:proofErr w:type="gramStart"/>
      <w:r>
        <w:t>)  Urban</w:t>
      </w:r>
      <w:proofErr w:type="gramEnd"/>
      <w:r>
        <w:t xml:space="preserve"> Planning and Design Criteria, 2</w:t>
      </w:r>
      <w:r w:rsidRPr="00B572B9">
        <w:rPr>
          <w:vertAlign w:val="superscript"/>
        </w:rPr>
        <w:t>nd</w:t>
      </w:r>
      <w:r>
        <w:t xml:space="preserve"> Ed.  NY:  Van Nostrand Reinhold Co.</w:t>
      </w:r>
    </w:p>
    <w:p w14:paraId="2459C627" w14:textId="77777777" w:rsidR="009B27B7" w:rsidRDefault="009B27B7" w:rsidP="009B27B7">
      <w:pPr>
        <w:pStyle w:val="NormalWeb"/>
        <w:numPr>
          <w:ilvl w:val="0"/>
          <w:numId w:val="14"/>
        </w:numPr>
        <w:spacing w:before="0" w:beforeAutospacing="0" w:after="0" w:afterAutospacing="0"/>
      </w:pPr>
      <w:r>
        <w:t>Macaulay, David.  (1976</w:t>
      </w:r>
      <w:proofErr w:type="gramStart"/>
      <w:r>
        <w:t>)  Underground</w:t>
      </w:r>
      <w:proofErr w:type="gramEnd"/>
      <w:r>
        <w:t>.  Boston:  Houghton Mifflin Co.</w:t>
      </w:r>
    </w:p>
    <w:p w14:paraId="4092998F" w14:textId="77777777" w:rsidR="009B27B7" w:rsidRDefault="009B27B7" w:rsidP="00153E9A">
      <w:pPr>
        <w:pStyle w:val="Heading2"/>
        <w:spacing w:before="0" w:beforeAutospacing="0" w:after="0" w:afterAutospacing="0"/>
        <w:rPr>
          <w:rFonts w:eastAsia="Times New Roman"/>
          <w:color w:val="800080"/>
          <w:kern w:val="36"/>
          <w:sz w:val="40"/>
          <w:szCs w:val="40"/>
        </w:rPr>
      </w:pPr>
    </w:p>
    <w:p w14:paraId="21CACC2E" w14:textId="23139046" w:rsidR="006D6378" w:rsidRDefault="00046002" w:rsidP="00153E9A">
      <w:pPr>
        <w:pStyle w:val="Heading2"/>
        <w:spacing w:before="0" w:beforeAutospacing="0" w:after="0" w:afterAutospacing="0"/>
        <w:rPr>
          <w:rFonts w:eastAsia="Times New Roman"/>
          <w:color w:val="800080"/>
          <w:kern w:val="36"/>
          <w:sz w:val="40"/>
          <w:szCs w:val="40"/>
        </w:rPr>
      </w:pPr>
      <w:r w:rsidRPr="00330958">
        <w:rPr>
          <w:rFonts w:eastAsia="Times New Roman"/>
          <w:color w:val="800080"/>
          <w:kern w:val="36"/>
          <w:sz w:val="40"/>
          <w:szCs w:val="40"/>
        </w:rPr>
        <w:t>Course Calendar</w:t>
      </w:r>
    </w:p>
    <w:p w14:paraId="603EBE67" w14:textId="77777777" w:rsidR="00153E9A" w:rsidRPr="00153E9A" w:rsidRDefault="00153E9A" w:rsidP="00153E9A">
      <w:pPr>
        <w:pStyle w:val="Heading2"/>
        <w:spacing w:before="0" w:beforeAutospacing="0" w:after="0" w:afterAutospacing="0"/>
        <w:rPr>
          <w:rFonts w:eastAsia="Times New Roman"/>
          <w:color w:val="800080"/>
          <w:kern w:val="36"/>
          <w:sz w:val="24"/>
          <w:szCs w:val="24"/>
        </w:rPr>
      </w:pPr>
    </w:p>
    <w:tbl>
      <w:tblPr>
        <w:tblStyle w:val="TableGrid"/>
        <w:tblW w:w="0" w:type="auto"/>
        <w:tblLook w:val="01E0" w:firstRow="1" w:lastRow="1" w:firstColumn="1" w:lastColumn="1" w:noHBand="0" w:noVBand="0"/>
      </w:tblPr>
      <w:tblGrid>
        <w:gridCol w:w="1031"/>
        <w:gridCol w:w="1754"/>
        <w:gridCol w:w="3372"/>
        <w:gridCol w:w="2473"/>
      </w:tblGrid>
      <w:tr w:rsidR="006D6378" w14:paraId="61A4A362" w14:textId="77777777" w:rsidTr="003B50B1">
        <w:tc>
          <w:tcPr>
            <w:tcW w:w="1031" w:type="dxa"/>
            <w:tcBorders>
              <w:top w:val="single" w:sz="4" w:space="0" w:color="auto"/>
              <w:left w:val="single" w:sz="4" w:space="0" w:color="auto"/>
              <w:bottom w:val="single" w:sz="4" w:space="0" w:color="auto"/>
              <w:right w:val="single" w:sz="4" w:space="0" w:color="auto"/>
            </w:tcBorders>
          </w:tcPr>
          <w:p w14:paraId="7C07D394" w14:textId="1F05951F" w:rsidR="006D6378" w:rsidRDefault="00046002">
            <w:pPr>
              <w:rPr>
                <w:b/>
              </w:rPr>
            </w:pPr>
            <w:r>
              <w:rPr>
                <w:b/>
              </w:rPr>
              <w:t>Date</w:t>
            </w:r>
          </w:p>
        </w:tc>
        <w:tc>
          <w:tcPr>
            <w:tcW w:w="1754" w:type="dxa"/>
            <w:tcBorders>
              <w:top w:val="single" w:sz="4" w:space="0" w:color="auto"/>
              <w:left w:val="single" w:sz="4" w:space="0" w:color="auto"/>
              <w:bottom w:val="single" w:sz="4" w:space="0" w:color="auto"/>
              <w:right w:val="single" w:sz="4" w:space="0" w:color="auto"/>
            </w:tcBorders>
          </w:tcPr>
          <w:p w14:paraId="534CD0EC" w14:textId="77777777" w:rsidR="006D6378" w:rsidRDefault="00046002">
            <w:pPr>
              <w:rPr>
                <w:b/>
              </w:rPr>
            </w:pPr>
            <w:r>
              <w:rPr>
                <w:b/>
              </w:rPr>
              <w:t>Topic</w:t>
            </w:r>
          </w:p>
        </w:tc>
        <w:tc>
          <w:tcPr>
            <w:tcW w:w="3372" w:type="dxa"/>
            <w:tcBorders>
              <w:top w:val="single" w:sz="4" w:space="0" w:color="auto"/>
              <w:left w:val="single" w:sz="4" w:space="0" w:color="auto"/>
              <w:bottom w:val="single" w:sz="4" w:space="0" w:color="auto"/>
              <w:right w:val="single" w:sz="4" w:space="0" w:color="auto"/>
            </w:tcBorders>
          </w:tcPr>
          <w:p w14:paraId="44F7C6D3" w14:textId="77777777" w:rsidR="006D6378" w:rsidRDefault="00046002">
            <w:pPr>
              <w:rPr>
                <w:b/>
              </w:rPr>
            </w:pPr>
            <w:r>
              <w:rPr>
                <w:b/>
              </w:rPr>
              <w:t>Reading</w:t>
            </w:r>
          </w:p>
        </w:tc>
        <w:tc>
          <w:tcPr>
            <w:tcW w:w="2473" w:type="dxa"/>
            <w:tcBorders>
              <w:top w:val="single" w:sz="4" w:space="0" w:color="auto"/>
              <w:left w:val="single" w:sz="4" w:space="0" w:color="auto"/>
              <w:bottom w:val="single" w:sz="4" w:space="0" w:color="auto"/>
              <w:right w:val="single" w:sz="4" w:space="0" w:color="auto"/>
            </w:tcBorders>
          </w:tcPr>
          <w:p w14:paraId="7093655D" w14:textId="715C5B14" w:rsidR="006D6378" w:rsidRDefault="00046002">
            <w:pPr>
              <w:rPr>
                <w:b/>
              </w:rPr>
            </w:pPr>
            <w:r>
              <w:rPr>
                <w:b/>
              </w:rPr>
              <w:t>Assignment</w:t>
            </w:r>
            <w:r w:rsidR="006A14A3">
              <w:rPr>
                <w:b/>
              </w:rPr>
              <w:t xml:space="preserve"> (D2L)</w:t>
            </w:r>
          </w:p>
        </w:tc>
      </w:tr>
      <w:tr w:rsidR="006D6378" w14:paraId="655DFF9A" w14:textId="77777777" w:rsidTr="003B50B1">
        <w:tc>
          <w:tcPr>
            <w:tcW w:w="1031" w:type="dxa"/>
            <w:tcBorders>
              <w:top w:val="single" w:sz="4" w:space="0" w:color="auto"/>
              <w:left w:val="single" w:sz="4" w:space="0" w:color="auto"/>
              <w:bottom w:val="single" w:sz="4" w:space="0" w:color="auto"/>
              <w:right w:val="single" w:sz="4" w:space="0" w:color="auto"/>
            </w:tcBorders>
          </w:tcPr>
          <w:p w14:paraId="041CD786" w14:textId="77777777" w:rsidR="006D6378" w:rsidRDefault="004A654C">
            <w:r>
              <w:t>1/17</w:t>
            </w:r>
          </w:p>
        </w:tc>
        <w:tc>
          <w:tcPr>
            <w:tcW w:w="1754" w:type="dxa"/>
            <w:tcBorders>
              <w:top w:val="single" w:sz="4" w:space="0" w:color="auto"/>
              <w:left w:val="single" w:sz="4" w:space="0" w:color="auto"/>
              <w:bottom w:val="single" w:sz="4" w:space="0" w:color="auto"/>
              <w:right w:val="single" w:sz="4" w:space="0" w:color="auto"/>
            </w:tcBorders>
          </w:tcPr>
          <w:p w14:paraId="6184D8E3" w14:textId="77777777" w:rsidR="006D6378" w:rsidRDefault="00046002">
            <w:pPr>
              <w:rPr>
                <w:b/>
              </w:rPr>
            </w:pPr>
            <w:r>
              <w:rPr>
                <w:b/>
              </w:rPr>
              <w:t>Introduction</w:t>
            </w:r>
          </w:p>
        </w:tc>
        <w:tc>
          <w:tcPr>
            <w:tcW w:w="3372" w:type="dxa"/>
            <w:tcBorders>
              <w:top w:val="single" w:sz="4" w:space="0" w:color="auto"/>
              <w:left w:val="single" w:sz="4" w:space="0" w:color="auto"/>
              <w:bottom w:val="single" w:sz="4" w:space="0" w:color="auto"/>
              <w:right w:val="single" w:sz="4" w:space="0" w:color="auto"/>
            </w:tcBorders>
          </w:tcPr>
          <w:p w14:paraId="7A627A9A" w14:textId="22E46E3F" w:rsidR="00196815" w:rsidRPr="00196815" w:rsidRDefault="00196815" w:rsidP="003B50B1">
            <w:pPr>
              <w:pStyle w:val="ListParagraph"/>
              <w:numPr>
                <w:ilvl w:val="0"/>
                <w:numId w:val="10"/>
              </w:numPr>
              <w:rPr>
                <w:rStyle w:val="Hyperlink"/>
                <w:color w:val="auto"/>
                <w:sz w:val="20"/>
                <w:szCs w:val="20"/>
                <w:u w:val="none"/>
              </w:rPr>
            </w:pPr>
            <w:r>
              <w:rPr>
                <w:sz w:val="20"/>
                <w:szCs w:val="20"/>
              </w:rPr>
              <w:t>Hack, pp. 343-3</w:t>
            </w:r>
            <w:r w:rsidR="003B03C0">
              <w:rPr>
                <w:sz w:val="20"/>
                <w:szCs w:val="20"/>
              </w:rPr>
              <w:t>49</w:t>
            </w:r>
          </w:p>
          <w:p w14:paraId="7E965864" w14:textId="690B87B8" w:rsidR="00786B26" w:rsidRDefault="003B03C0" w:rsidP="003B50B1">
            <w:pPr>
              <w:pStyle w:val="ListParagraph"/>
              <w:numPr>
                <w:ilvl w:val="0"/>
                <w:numId w:val="10"/>
              </w:numPr>
              <w:rPr>
                <w:sz w:val="20"/>
                <w:szCs w:val="20"/>
              </w:rPr>
            </w:pPr>
            <w:hyperlink r:id="rId11" w:history="1">
              <w:r w:rsidR="00786B26" w:rsidRPr="00786B26">
                <w:rPr>
                  <w:rStyle w:val="Hyperlink"/>
                  <w:sz w:val="20"/>
                  <w:szCs w:val="20"/>
                </w:rPr>
                <w:t>Traditional Neighborhood Design</w:t>
              </w:r>
            </w:hyperlink>
          </w:p>
          <w:p w14:paraId="6F2C9FF5" w14:textId="1F1187E0" w:rsidR="003B50B1" w:rsidRPr="003B50B1" w:rsidRDefault="004C08E8" w:rsidP="003B50B1">
            <w:pPr>
              <w:pStyle w:val="ListParagraph"/>
              <w:numPr>
                <w:ilvl w:val="0"/>
                <w:numId w:val="10"/>
              </w:numPr>
              <w:rPr>
                <w:sz w:val="20"/>
                <w:szCs w:val="20"/>
              </w:rPr>
            </w:pPr>
            <w:hyperlink r:id="rId12" w:history="1">
              <w:r w:rsidR="003B50B1" w:rsidRPr="003B50B1">
                <w:rPr>
                  <w:rStyle w:val="Hyperlink"/>
                  <w:sz w:val="20"/>
                  <w:szCs w:val="20"/>
                </w:rPr>
                <w:t>Project for Public Spaces</w:t>
              </w:r>
            </w:hyperlink>
          </w:p>
          <w:p w14:paraId="6BCFA79F" w14:textId="77777777" w:rsidR="006D6378" w:rsidRPr="00D267C5" w:rsidRDefault="004C08E8" w:rsidP="003B50B1">
            <w:pPr>
              <w:pStyle w:val="ListParagraph"/>
              <w:numPr>
                <w:ilvl w:val="0"/>
                <w:numId w:val="10"/>
              </w:numPr>
            </w:pPr>
            <w:hyperlink r:id="rId13" w:history="1">
              <w:r w:rsidR="003B50B1" w:rsidRPr="003B50B1">
                <w:rPr>
                  <w:rStyle w:val="Hyperlink"/>
                  <w:sz w:val="20"/>
                  <w:szCs w:val="20"/>
                </w:rPr>
                <w:t>APA Great Places</w:t>
              </w:r>
            </w:hyperlink>
          </w:p>
          <w:p w14:paraId="408178EC" w14:textId="1AD7EF7E" w:rsidR="000F6A6B" w:rsidRPr="00196815" w:rsidRDefault="004C08E8" w:rsidP="00196815">
            <w:pPr>
              <w:pStyle w:val="ListParagraph"/>
              <w:numPr>
                <w:ilvl w:val="0"/>
                <w:numId w:val="10"/>
              </w:numPr>
              <w:rPr>
                <w:sz w:val="20"/>
                <w:szCs w:val="20"/>
              </w:rPr>
            </w:pPr>
            <w:hyperlink r:id="rId14" w:history="1">
              <w:r w:rsidR="00786B26" w:rsidRPr="00786B26">
                <w:rPr>
                  <w:rStyle w:val="Hyperlink"/>
                  <w:sz w:val="20"/>
                  <w:szCs w:val="20"/>
                </w:rPr>
                <w:t>New Urbanism</w:t>
              </w:r>
            </w:hyperlink>
          </w:p>
        </w:tc>
        <w:tc>
          <w:tcPr>
            <w:tcW w:w="2473" w:type="dxa"/>
            <w:tcBorders>
              <w:top w:val="single" w:sz="4" w:space="0" w:color="auto"/>
              <w:left w:val="single" w:sz="4" w:space="0" w:color="auto"/>
              <w:bottom w:val="single" w:sz="4" w:space="0" w:color="auto"/>
              <w:right w:val="single" w:sz="4" w:space="0" w:color="auto"/>
            </w:tcBorders>
          </w:tcPr>
          <w:p w14:paraId="4208C442" w14:textId="77777777" w:rsidR="006D6378" w:rsidRDefault="006D6378"/>
        </w:tc>
      </w:tr>
      <w:tr w:rsidR="006D6378" w14:paraId="0AF89214" w14:textId="77777777" w:rsidTr="003B50B1">
        <w:tc>
          <w:tcPr>
            <w:tcW w:w="1031" w:type="dxa"/>
            <w:tcBorders>
              <w:top w:val="single" w:sz="4" w:space="0" w:color="auto"/>
              <w:left w:val="single" w:sz="4" w:space="0" w:color="auto"/>
              <w:bottom w:val="single" w:sz="4" w:space="0" w:color="auto"/>
              <w:right w:val="single" w:sz="4" w:space="0" w:color="auto"/>
            </w:tcBorders>
          </w:tcPr>
          <w:p w14:paraId="622398CD" w14:textId="77777777" w:rsidR="006D6378" w:rsidRDefault="007470DB">
            <w:r>
              <w:t>1/24</w:t>
            </w:r>
          </w:p>
        </w:tc>
        <w:tc>
          <w:tcPr>
            <w:tcW w:w="1754" w:type="dxa"/>
            <w:tcBorders>
              <w:top w:val="single" w:sz="4" w:space="0" w:color="auto"/>
              <w:left w:val="single" w:sz="4" w:space="0" w:color="auto"/>
              <w:bottom w:val="single" w:sz="4" w:space="0" w:color="auto"/>
              <w:right w:val="single" w:sz="4" w:space="0" w:color="auto"/>
            </w:tcBorders>
          </w:tcPr>
          <w:p w14:paraId="0AA9D2DB" w14:textId="77777777" w:rsidR="006D6378" w:rsidRDefault="00046002">
            <w:r>
              <w:rPr>
                <w:b/>
              </w:rPr>
              <w:t>Context</w:t>
            </w:r>
          </w:p>
          <w:p w14:paraId="300AE1FE" w14:textId="55E0B0C6" w:rsidR="00911004" w:rsidRPr="00153E9A" w:rsidRDefault="00046002">
            <w:pPr>
              <w:rPr>
                <w:sz w:val="20"/>
                <w:szCs w:val="20"/>
              </w:rPr>
            </w:pPr>
            <w:r w:rsidRPr="00153E9A">
              <w:rPr>
                <w:sz w:val="20"/>
                <w:szCs w:val="20"/>
              </w:rPr>
              <w:t xml:space="preserve">Local </w:t>
            </w:r>
            <w:proofErr w:type="gramStart"/>
            <w:r w:rsidRPr="00153E9A">
              <w:rPr>
                <w:sz w:val="20"/>
                <w:szCs w:val="20"/>
              </w:rPr>
              <w:t>Government  Planning</w:t>
            </w:r>
            <w:proofErr w:type="gramEnd"/>
            <w:r w:rsidRPr="00153E9A">
              <w:rPr>
                <w:sz w:val="20"/>
                <w:szCs w:val="20"/>
              </w:rPr>
              <w:t xml:space="preserve"> </w:t>
            </w:r>
          </w:p>
        </w:tc>
        <w:tc>
          <w:tcPr>
            <w:tcW w:w="3372" w:type="dxa"/>
            <w:tcBorders>
              <w:top w:val="single" w:sz="4" w:space="0" w:color="auto"/>
              <w:left w:val="single" w:sz="4" w:space="0" w:color="auto"/>
              <w:bottom w:val="single" w:sz="4" w:space="0" w:color="auto"/>
              <w:right w:val="single" w:sz="4" w:space="0" w:color="auto"/>
            </w:tcBorders>
          </w:tcPr>
          <w:p w14:paraId="52B222A9" w14:textId="77777777" w:rsidR="006D6378" w:rsidRPr="003B50B1" w:rsidRDefault="004C08E8" w:rsidP="003B50B1">
            <w:pPr>
              <w:pStyle w:val="ListParagraph"/>
              <w:numPr>
                <w:ilvl w:val="0"/>
                <w:numId w:val="10"/>
              </w:numPr>
              <w:rPr>
                <w:rStyle w:val="Hyperlink"/>
                <w:sz w:val="20"/>
                <w:szCs w:val="20"/>
              </w:rPr>
            </w:pPr>
            <w:hyperlink r:id="rId15" w:history="1">
              <w:r w:rsidR="007E3E72" w:rsidRPr="003B50B1">
                <w:rPr>
                  <w:rStyle w:val="Hyperlink"/>
                  <w:sz w:val="20"/>
                  <w:szCs w:val="20"/>
                </w:rPr>
                <w:t>Getting &amp; Using Power</w:t>
              </w:r>
            </w:hyperlink>
          </w:p>
          <w:p w14:paraId="4D42B601" w14:textId="77777777" w:rsidR="0086058B" w:rsidRPr="003B50B1" w:rsidRDefault="004C08E8" w:rsidP="003B50B1">
            <w:pPr>
              <w:pStyle w:val="ListParagraph"/>
              <w:numPr>
                <w:ilvl w:val="0"/>
                <w:numId w:val="10"/>
              </w:numPr>
              <w:rPr>
                <w:sz w:val="20"/>
                <w:szCs w:val="20"/>
              </w:rPr>
            </w:pPr>
            <w:hyperlink r:id="rId16" w:history="1">
              <w:r w:rsidR="0086058B" w:rsidRPr="003B50B1">
                <w:rPr>
                  <w:rStyle w:val="Hyperlink"/>
                  <w:sz w:val="20"/>
                  <w:szCs w:val="20"/>
                </w:rPr>
                <w:t>LMC Handbook Ch. 7--Meetings</w:t>
              </w:r>
            </w:hyperlink>
          </w:p>
          <w:p w14:paraId="1E09D41C" w14:textId="77777777" w:rsidR="0086058B" w:rsidRPr="003B50B1" w:rsidRDefault="004C08E8" w:rsidP="003B50B1">
            <w:pPr>
              <w:pStyle w:val="ListParagraph"/>
              <w:numPr>
                <w:ilvl w:val="0"/>
                <w:numId w:val="10"/>
              </w:numPr>
              <w:rPr>
                <w:sz w:val="20"/>
                <w:szCs w:val="20"/>
              </w:rPr>
            </w:pPr>
            <w:hyperlink r:id="rId17" w:history="1">
              <w:r w:rsidR="0086058B" w:rsidRPr="003B50B1">
                <w:rPr>
                  <w:rStyle w:val="Hyperlink"/>
                  <w:sz w:val="20"/>
                  <w:szCs w:val="20"/>
                </w:rPr>
                <w:t xml:space="preserve">MN Statutes </w:t>
              </w:r>
              <w:r w:rsidR="00113D9C" w:rsidRPr="003B50B1">
                <w:rPr>
                  <w:rStyle w:val="Hyperlink"/>
                  <w:sz w:val="20"/>
                  <w:szCs w:val="20"/>
                </w:rPr>
                <w:t>Ch. 394</w:t>
              </w:r>
            </w:hyperlink>
          </w:p>
          <w:p w14:paraId="2C8C9D39" w14:textId="1AC0148A" w:rsidR="003B50B1" w:rsidRPr="00153E9A" w:rsidRDefault="004C08E8" w:rsidP="003B50B1">
            <w:pPr>
              <w:pStyle w:val="ListParagraph"/>
              <w:numPr>
                <w:ilvl w:val="0"/>
                <w:numId w:val="10"/>
              </w:numPr>
              <w:rPr>
                <w:sz w:val="20"/>
                <w:szCs w:val="20"/>
              </w:rPr>
            </w:pPr>
            <w:hyperlink r:id="rId18" w:history="1">
              <w:r w:rsidR="00113D9C" w:rsidRPr="003B50B1">
                <w:rPr>
                  <w:rStyle w:val="Hyperlink"/>
                  <w:sz w:val="20"/>
                  <w:szCs w:val="20"/>
                </w:rPr>
                <w:t>MN Statutes Ch. 462</w:t>
              </w:r>
            </w:hyperlink>
          </w:p>
        </w:tc>
        <w:tc>
          <w:tcPr>
            <w:tcW w:w="2473" w:type="dxa"/>
            <w:tcBorders>
              <w:top w:val="single" w:sz="4" w:space="0" w:color="auto"/>
              <w:left w:val="single" w:sz="4" w:space="0" w:color="auto"/>
              <w:bottom w:val="single" w:sz="4" w:space="0" w:color="auto"/>
              <w:right w:val="single" w:sz="4" w:space="0" w:color="auto"/>
            </w:tcBorders>
          </w:tcPr>
          <w:p w14:paraId="29786648" w14:textId="6CC4836B" w:rsidR="006D6378" w:rsidRPr="003B50B1" w:rsidRDefault="00CD416D">
            <w:pPr>
              <w:rPr>
                <w:sz w:val="20"/>
                <w:szCs w:val="20"/>
              </w:rPr>
            </w:pPr>
            <w:r w:rsidRPr="003B50B1">
              <w:rPr>
                <w:sz w:val="20"/>
                <w:szCs w:val="20"/>
              </w:rPr>
              <w:t>Attend Mankato Planning Commission, 1/23 @ 6:30 PM</w:t>
            </w:r>
          </w:p>
        </w:tc>
      </w:tr>
      <w:tr w:rsidR="006D6378" w14:paraId="56BD15D3" w14:textId="77777777" w:rsidTr="003B50B1">
        <w:tc>
          <w:tcPr>
            <w:tcW w:w="1031" w:type="dxa"/>
            <w:tcBorders>
              <w:top w:val="single" w:sz="4" w:space="0" w:color="auto"/>
              <w:left w:val="single" w:sz="4" w:space="0" w:color="auto"/>
              <w:bottom w:val="single" w:sz="4" w:space="0" w:color="auto"/>
              <w:right w:val="single" w:sz="4" w:space="0" w:color="auto"/>
            </w:tcBorders>
          </w:tcPr>
          <w:p w14:paraId="7D08CC66" w14:textId="77777777" w:rsidR="006D6378" w:rsidRDefault="007470DB">
            <w:r>
              <w:t>1/31</w:t>
            </w:r>
          </w:p>
        </w:tc>
        <w:tc>
          <w:tcPr>
            <w:tcW w:w="1754" w:type="dxa"/>
            <w:tcBorders>
              <w:top w:val="single" w:sz="4" w:space="0" w:color="auto"/>
              <w:left w:val="single" w:sz="4" w:space="0" w:color="auto"/>
              <w:bottom w:val="single" w:sz="4" w:space="0" w:color="auto"/>
              <w:right w:val="single" w:sz="4" w:space="0" w:color="auto"/>
            </w:tcBorders>
          </w:tcPr>
          <w:p w14:paraId="046C33A9" w14:textId="77777777" w:rsidR="006D6378" w:rsidRDefault="00182588" w:rsidP="00064D3B">
            <w:pPr>
              <w:pStyle w:val="NormalWeb"/>
              <w:spacing w:before="0" w:beforeAutospacing="0" w:after="0" w:afterAutospacing="0"/>
              <w:rPr>
                <w:b/>
              </w:rPr>
            </w:pPr>
            <w:r w:rsidRPr="00182588">
              <w:rPr>
                <w:b/>
              </w:rPr>
              <w:t>Site Analysis</w:t>
            </w:r>
          </w:p>
          <w:p w14:paraId="05FEA45C" w14:textId="6985D029" w:rsidR="00911004" w:rsidRDefault="00064D3B" w:rsidP="00064D3B">
            <w:pPr>
              <w:pStyle w:val="NormalWeb"/>
              <w:numPr>
                <w:ilvl w:val="0"/>
                <w:numId w:val="19"/>
              </w:numPr>
              <w:spacing w:before="0" w:beforeAutospacing="0" w:after="0" w:afterAutospacing="0"/>
              <w:rPr>
                <w:sz w:val="20"/>
                <w:szCs w:val="20"/>
              </w:rPr>
            </w:pPr>
            <w:r>
              <w:rPr>
                <w:sz w:val="20"/>
                <w:szCs w:val="20"/>
              </w:rPr>
              <w:t>Property Description</w:t>
            </w:r>
          </w:p>
          <w:p w14:paraId="4D8FA656" w14:textId="20A05F0A" w:rsidR="00064D3B" w:rsidRDefault="00064D3B" w:rsidP="00064D3B">
            <w:pPr>
              <w:pStyle w:val="NormalWeb"/>
              <w:numPr>
                <w:ilvl w:val="0"/>
                <w:numId w:val="19"/>
              </w:numPr>
              <w:spacing w:before="0" w:beforeAutospacing="0" w:after="0" w:afterAutospacing="0"/>
              <w:rPr>
                <w:sz w:val="20"/>
                <w:szCs w:val="20"/>
              </w:rPr>
            </w:pPr>
            <w:r>
              <w:rPr>
                <w:sz w:val="20"/>
                <w:szCs w:val="20"/>
              </w:rPr>
              <w:t>Map reading</w:t>
            </w:r>
          </w:p>
          <w:p w14:paraId="436AD624" w14:textId="0D6A8C9E" w:rsidR="00064D3B" w:rsidRPr="00064D3B" w:rsidRDefault="00064D3B" w:rsidP="00064D3B">
            <w:pPr>
              <w:pStyle w:val="NormalWeb"/>
              <w:numPr>
                <w:ilvl w:val="0"/>
                <w:numId w:val="19"/>
              </w:numPr>
              <w:spacing w:before="0" w:beforeAutospacing="0" w:after="0" w:afterAutospacing="0"/>
              <w:rPr>
                <w:sz w:val="20"/>
                <w:szCs w:val="20"/>
              </w:rPr>
            </w:pPr>
            <w:r>
              <w:rPr>
                <w:sz w:val="20"/>
                <w:szCs w:val="20"/>
              </w:rPr>
              <w:t>Tools &amp; toys</w:t>
            </w:r>
          </w:p>
          <w:p w14:paraId="55965BAA" w14:textId="460697E9" w:rsidR="00911004" w:rsidRPr="00182588" w:rsidRDefault="00911004" w:rsidP="00064D3B">
            <w:pPr>
              <w:pStyle w:val="NormalWeb"/>
              <w:rPr>
                <w:b/>
              </w:rPr>
            </w:pPr>
          </w:p>
        </w:tc>
        <w:tc>
          <w:tcPr>
            <w:tcW w:w="3372" w:type="dxa"/>
            <w:tcBorders>
              <w:top w:val="single" w:sz="4" w:space="0" w:color="auto"/>
              <w:left w:val="single" w:sz="4" w:space="0" w:color="auto"/>
              <w:bottom w:val="single" w:sz="4" w:space="0" w:color="auto"/>
              <w:right w:val="single" w:sz="4" w:space="0" w:color="auto"/>
            </w:tcBorders>
          </w:tcPr>
          <w:p w14:paraId="016264C5" w14:textId="731AE1AD" w:rsidR="00A14D7F" w:rsidRPr="00064D3B" w:rsidRDefault="00DE58D9" w:rsidP="00064D3B">
            <w:pPr>
              <w:pStyle w:val="ListParagraph"/>
              <w:numPr>
                <w:ilvl w:val="0"/>
                <w:numId w:val="17"/>
              </w:numPr>
              <w:rPr>
                <w:sz w:val="20"/>
                <w:szCs w:val="20"/>
              </w:rPr>
            </w:pPr>
            <w:r>
              <w:rPr>
                <w:rStyle w:val="Hyperlink"/>
                <w:color w:val="auto"/>
                <w:sz w:val="20"/>
                <w:szCs w:val="20"/>
                <w:u w:val="none"/>
              </w:rPr>
              <w:t>Anderson, pp. 3-32</w:t>
            </w:r>
            <w:r w:rsidR="00A14D7F" w:rsidRPr="00064D3B">
              <w:rPr>
                <w:sz w:val="20"/>
                <w:szCs w:val="20"/>
              </w:rPr>
              <w:t xml:space="preserve"> </w:t>
            </w:r>
            <w:r w:rsidR="00E12077">
              <w:rPr>
                <w:sz w:val="20"/>
                <w:szCs w:val="20"/>
              </w:rPr>
              <w:t>&amp; 260</w:t>
            </w:r>
          </w:p>
          <w:p w14:paraId="43C5A064" w14:textId="4696147F" w:rsidR="008870AF" w:rsidRDefault="004C08E8" w:rsidP="001D744A">
            <w:pPr>
              <w:pStyle w:val="ListParagraph"/>
              <w:numPr>
                <w:ilvl w:val="0"/>
                <w:numId w:val="11"/>
              </w:numPr>
              <w:rPr>
                <w:sz w:val="20"/>
                <w:szCs w:val="20"/>
              </w:rPr>
            </w:pPr>
            <w:hyperlink r:id="rId19" w:history="1">
              <w:r w:rsidR="008870AF" w:rsidRPr="008870AF">
                <w:rPr>
                  <w:rStyle w:val="Hyperlink"/>
                  <w:sz w:val="20"/>
                  <w:szCs w:val="20"/>
                </w:rPr>
                <w:t>Reading Land Property Descriptions</w:t>
              </w:r>
            </w:hyperlink>
          </w:p>
          <w:p w14:paraId="0EF7C036" w14:textId="77777777" w:rsidR="008870AF" w:rsidRDefault="004C08E8" w:rsidP="001D744A">
            <w:pPr>
              <w:pStyle w:val="ListParagraph"/>
              <w:numPr>
                <w:ilvl w:val="0"/>
                <w:numId w:val="11"/>
              </w:numPr>
              <w:rPr>
                <w:sz w:val="20"/>
                <w:szCs w:val="20"/>
              </w:rPr>
            </w:pPr>
            <w:hyperlink r:id="rId20" w:history="1">
              <w:r w:rsidR="008870AF" w:rsidRPr="008870AF">
                <w:rPr>
                  <w:rStyle w:val="Hyperlink"/>
                  <w:sz w:val="20"/>
                  <w:szCs w:val="20"/>
                </w:rPr>
                <w:t>Reading Subd</w:t>
              </w:r>
              <w:r w:rsidR="00A14D7F">
                <w:rPr>
                  <w:rStyle w:val="Hyperlink"/>
                  <w:sz w:val="20"/>
                  <w:szCs w:val="20"/>
                </w:rPr>
                <w:t>i</w:t>
              </w:r>
              <w:r w:rsidR="008870AF" w:rsidRPr="008870AF">
                <w:rPr>
                  <w:rStyle w:val="Hyperlink"/>
                  <w:sz w:val="20"/>
                  <w:szCs w:val="20"/>
                </w:rPr>
                <w:t>vision Plats and Site Plans</w:t>
              </w:r>
            </w:hyperlink>
          </w:p>
          <w:p w14:paraId="51958326" w14:textId="77777777" w:rsidR="00064D3B" w:rsidRDefault="004C08E8" w:rsidP="00064D3B">
            <w:pPr>
              <w:pStyle w:val="ListParagraph"/>
              <w:numPr>
                <w:ilvl w:val="0"/>
                <w:numId w:val="11"/>
              </w:numPr>
              <w:rPr>
                <w:sz w:val="20"/>
                <w:szCs w:val="20"/>
              </w:rPr>
            </w:pPr>
            <w:hyperlink r:id="rId21" w:history="1">
              <w:r w:rsidR="00064D3B" w:rsidRPr="00A14D7F">
                <w:rPr>
                  <w:rStyle w:val="Hyperlink"/>
                  <w:sz w:val="20"/>
                  <w:szCs w:val="20"/>
                </w:rPr>
                <w:t>Specifications for Description of Land</w:t>
              </w:r>
            </w:hyperlink>
          </w:p>
          <w:p w14:paraId="04477748" w14:textId="6FD53719" w:rsidR="00064D3B" w:rsidRPr="00113D9C" w:rsidRDefault="004C08E8" w:rsidP="00064D3B">
            <w:pPr>
              <w:pStyle w:val="ListParagraph"/>
              <w:numPr>
                <w:ilvl w:val="0"/>
                <w:numId w:val="11"/>
              </w:numPr>
              <w:rPr>
                <w:sz w:val="20"/>
                <w:szCs w:val="20"/>
              </w:rPr>
            </w:pPr>
            <w:hyperlink r:id="rId22" w:history="1">
              <w:r w:rsidR="00064D3B" w:rsidRPr="00A14D7F">
                <w:rPr>
                  <w:rStyle w:val="Hyperlink"/>
                  <w:sz w:val="20"/>
                  <w:szCs w:val="20"/>
                </w:rPr>
                <w:t>Public Land Survey System</w:t>
              </w:r>
            </w:hyperlink>
          </w:p>
        </w:tc>
        <w:tc>
          <w:tcPr>
            <w:tcW w:w="2473" w:type="dxa"/>
            <w:tcBorders>
              <w:top w:val="single" w:sz="4" w:space="0" w:color="auto"/>
              <w:left w:val="single" w:sz="4" w:space="0" w:color="auto"/>
              <w:bottom w:val="single" w:sz="4" w:space="0" w:color="auto"/>
              <w:right w:val="single" w:sz="4" w:space="0" w:color="auto"/>
            </w:tcBorders>
          </w:tcPr>
          <w:p w14:paraId="44B7B58F" w14:textId="5807AE52" w:rsidR="006D6378" w:rsidRPr="00FA77BA" w:rsidRDefault="006D6378">
            <w:pPr>
              <w:rPr>
                <w:sz w:val="20"/>
                <w:szCs w:val="20"/>
              </w:rPr>
            </w:pPr>
          </w:p>
        </w:tc>
      </w:tr>
      <w:tr w:rsidR="006D6378" w14:paraId="490672C7" w14:textId="77777777" w:rsidTr="003B50B1">
        <w:tc>
          <w:tcPr>
            <w:tcW w:w="1031" w:type="dxa"/>
            <w:tcBorders>
              <w:top w:val="single" w:sz="4" w:space="0" w:color="auto"/>
              <w:left w:val="single" w:sz="4" w:space="0" w:color="auto"/>
              <w:bottom w:val="single" w:sz="4" w:space="0" w:color="auto"/>
              <w:right w:val="single" w:sz="4" w:space="0" w:color="auto"/>
            </w:tcBorders>
          </w:tcPr>
          <w:p w14:paraId="2EFB288E" w14:textId="77777777" w:rsidR="006D6378" w:rsidRDefault="007470DB">
            <w:r>
              <w:t>2/7</w:t>
            </w:r>
          </w:p>
        </w:tc>
        <w:tc>
          <w:tcPr>
            <w:tcW w:w="1754" w:type="dxa"/>
            <w:tcBorders>
              <w:top w:val="single" w:sz="4" w:space="0" w:color="auto"/>
              <w:left w:val="single" w:sz="4" w:space="0" w:color="auto"/>
              <w:bottom w:val="single" w:sz="4" w:space="0" w:color="auto"/>
              <w:right w:val="single" w:sz="4" w:space="0" w:color="auto"/>
            </w:tcBorders>
          </w:tcPr>
          <w:p w14:paraId="744F8E73" w14:textId="326477BB" w:rsidR="006D6378" w:rsidRDefault="007E3E72">
            <w:r>
              <w:t>Site Analysis</w:t>
            </w:r>
          </w:p>
          <w:p w14:paraId="53520B7D" w14:textId="349715AC" w:rsidR="00064D3B" w:rsidRPr="00064D3B" w:rsidRDefault="00064D3B" w:rsidP="00064D3B">
            <w:pPr>
              <w:pStyle w:val="ListParagraph"/>
              <w:numPr>
                <w:ilvl w:val="0"/>
                <w:numId w:val="20"/>
              </w:numPr>
              <w:rPr>
                <w:sz w:val="20"/>
                <w:szCs w:val="20"/>
              </w:rPr>
            </w:pPr>
            <w:r>
              <w:rPr>
                <w:sz w:val="20"/>
                <w:szCs w:val="20"/>
              </w:rPr>
              <w:t>The Land</w:t>
            </w:r>
          </w:p>
          <w:p w14:paraId="2B18BAD4" w14:textId="7A539633" w:rsidR="00911004" w:rsidRPr="007E3E72" w:rsidRDefault="00911004"/>
        </w:tc>
        <w:tc>
          <w:tcPr>
            <w:tcW w:w="3372" w:type="dxa"/>
            <w:tcBorders>
              <w:top w:val="single" w:sz="4" w:space="0" w:color="auto"/>
              <w:left w:val="single" w:sz="4" w:space="0" w:color="auto"/>
              <w:bottom w:val="single" w:sz="4" w:space="0" w:color="auto"/>
              <w:right w:val="single" w:sz="4" w:space="0" w:color="auto"/>
            </w:tcBorders>
          </w:tcPr>
          <w:p w14:paraId="07443BE6" w14:textId="77777777" w:rsidR="00064D3B" w:rsidRPr="00DE58D9" w:rsidRDefault="00064D3B" w:rsidP="00064D3B">
            <w:pPr>
              <w:pStyle w:val="ListParagraph"/>
              <w:numPr>
                <w:ilvl w:val="0"/>
                <w:numId w:val="11"/>
              </w:numPr>
              <w:rPr>
                <w:sz w:val="20"/>
                <w:szCs w:val="20"/>
              </w:rPr>
            </w:pPr>
            <w:r w:rsidRPr="00DE58D9">
              <w:rPr>
                <w:sz w:val="20"/>
                <w:szCs w:val="20"/>
              </w:rPr>
              <w:t>Anderson, pp. 35-75</w:t>
            </w:r>
          </w:p>
          <w:p w14:paraId="149DDD6C" w14:textId="66C0ACD2" w:rsidR="00064D3B" w:rsidRPr="00064D3B" w:rsidRDefault="00064D3B" w:rsidP="00064D3B">
            <w:pPr>
              <w:pStyle w:val="ListParagraph"/>
              <w:numPr>
                <w:ilvl w:val="0"/>
                <w:numId w:val="11"/>
              </w:numPr>
              <w:rPr>
                <w:rStyle w:val="Hyperlink"/>
                <w:color w:val="auto"/>
                <w:sz w:val="20"/>
                <w:szCs w:val="20"/>
                <w:u w:val="none"/>
              </w:rPr>
            </w:pPr>
            <w:r>
              <w:rPr>
                <w:sz w:val="20"/>
                <w:szCs w:val="20"/>
              </w:rPr>
              <w:t>Lynch, Ch. 2 “The Site”</w:t>
            </w:r>
            <w:r w:rsidRPr="00113D9C">
              <w:rPr>
                <w:sz w:val="20"/>
                <w:szCs w:val="20"/>
              </w:rPr>
              <w:t xml:space="preserve"> </w:t>
            </w:r>
            <w:r w:rsidR="00E12077">
              <w:rPr>
                <w:sz w:val="20"/>
                <w:szCs w:val="20"/>
              </w:rPr>
              <w:t>&amp; “Appendices”</w:t>
            </w:r>
          </w:p>
          <w:p w14:paraId="3E9999ED" w14:textId="4D321008" w:rsidR="008870AF" w:rsidRPr="003B50B1" w:rsidRDefault="004C08E8" w:rsidP="008870AF">
            <w:pPr>
              <w:pStyle w:val="ListParagraph"/>
              <w:numPr>
                <w:ilvl w:val="0"/>
                <w:numId w:val="11"/>
              </w:numPr>
              <w:rPr>
                <w:sz w:val="20"/>
                <w:szCs w:val="20"/>
              </w:rPr>
            </w:pPr>
            <w:hyperlink r:id="rId23" w:history="1">
              <w:r w:rsidR="008870AF" w:rsidRPr="003B50B1">
                <w:rPr>
                  <w:rStyle w:val="Hyperlink"/>
                  <w:sz w:val="20"/>
                  <w:szCs w:val="20"/>
                </w:rPr>
                <w:t xml:space="preserve"> LMC Handbook Ch. 15—Environmental Regulations</w:t>
              </w:r>
            </w:hyperlink>
          </w:p>
          <w:p w14:paraId="6EC423F7" w14:textId="706AB324" w:rsidR="006D6378" w:rsidRPr="00153E9A" w:rsidRDefault="004C08E8" w:rsidP="00153E9A">
            <w:pPr>
              <w:pStyle w:val="ListParagraph"/>
              <w:numPr>
                <w:ilvl w:val="0"/>
                <w:numId w:val="11"/>
              </w:numPr>
              <w:rPr>
                <w:sz w:val="20"/>
                <w:szCs w:val="20"/>
              </w:rPr>
            </w:pPr>
            <w:hyperlink r:id="rId24" w:history="1">
              <w:r w:rsidR="008870AF" w:rsidRPr="00DD7EFE">
                <w:rPr>
                  <w:rStyle w:val="Hyperlink"/>
                  <w:sz w:val="20"/>
                  <w:szCs w:val="20"/>
                </w:rPr>
                <w:t>Mankato AUAR</w:t>
              </w:r>
            </w:hyperlink>
          </w:p>
        </w:tc>
        <w:tc>
          <w:tcPr>
            <w:tcW w:w="2473" w:type="dxa"/>
            <w:tcBorders>
              <w:top w:val="single" w:sz="4" w:space="0" w:color="auto"/>
              <w:left w:val="single" w:sz="4" w:space="0" w:color="auto"/>
              <w:bottom w:val="single" w:sz="4" w:space="0" w:color="auto"/>
              <w:right w:val="single" w:sz="4" w:space="0" w:color="auto"/>
            </w:tcBorders>
          </w:tcPr>
          <w:p w14:paraId="75A4A979" w14:textId="2168C395" w:rsidR="006D6378" w:rsidRDefault="00FA77BA">
            <w:r w:rsidRPr="00FA77BA">
              <w:rPr>
                <w:sz w:val="20"/>
                <w:szCs w:val="20"/>
              </w:rPr>
              <w:t>Anderson, “Slope Exercise,” pp. 239-40</w:t>
            </w:r>
            <w:r w:rsidR="009B27B7">
              <w:rPr>
                <w:sz w:val="20"/>
                <w:szCs w:val="20"/>
              </w:rPr>
              <w:t xml:space="preserve"> &amp; </w:t>
            </w:r>
            <w:r w:rsidR="009B27B7" w:rsidRPr="00FA77BA">
              <w:rPr>
                <w:sz w:val="20"/>
                <w:szCs w:val="20"/>
              </w:rPr>
              <w:t>Anderson, “</w:t>
            </w:r>
            <w:r w:rsidR="009B27B7">
              <w:rPr>
                <w:sz w:val="20"/>
                <w:szCs w:val="20"/>
              </w:rPr>
              <w:t>Land Area</w:t>
            </w:r>
            <w:r w:rsidR="009B27B7" w:rsidRPr="00FA77BA">
              <w:rPr>
                <w:sz w:val="20"/>
                <w:szCs w:val="20"/>
              </w:rPr>
              <w:t xml:space="preserve"> Exercise,” pp. 2</w:t>
            </w:r>
            <w:r w:rsidR="009B27B7">
              <w:rPr>
                <w:sz w:val="20"/>
                <w:szCs w:val="20"/>
              </w:rPr>
              <w:t>55-57</w:t>
            </w:r>
          </w:p>
        </w:tc>
      </w:tr>
      <w:tr w:rsidR="006D6378" w14:paraId="70350E08" w14:textId="77777777" w:rsidTr="003B50B1">
        <w:tc>
          <w:tcPr>
            <w:tcW w:w="1031" w:type="dxa"/>
            <w:tcBorders>
              <w:top w:val="single" w:sz="4" w:space="0" w:color="auto"/>
              <w:left w:val="single" w:sz="4" w:space="0" w:color="auto"/>
              <w:bottom w:val="single" w:sz="4" w:space="0" w:color="auto"/>
              <w:right w:val="single" w:sz="4" w:space="0" w:color="auto"/>
            </w:tcBorders>
          </w:tcPr>
          <w:p w14:paraId="176E24D2" w14:textId="77777777" w:rsidR="006D6378" w:rsidRDefault="007470DB">
            <w:r>
              <w:t>2/14</w:t>
            </w:r>
          </w:p>
        </w:tc>
        <w:tc>
          <w:tcPr>
            <w:tcW w:w="1754" w:type="dxa"/>
            <w:tcBorders>
              <w:top w:val="single" w:sz="4" w:space="0" w:color="auto"/>
              <w:left w:val="single" w:sz="4" w:space="0" w:color="auto"/>
              <w:bottom w:val="single" w:sz="4" w:space="0" w:color="auto"/>
              <w:right w:val="single" w:sz="4" w:space="0" w:color="auto"/>
            </w:tcBorders>
          </w:tcPr>
          <w:p w14:paraId="7D3F6F3A" w14:textId="288C6E72" w:rsidR="006D6378" w:rsidRDefault="007E3E72" w:rsidP="007E3E72">
            <w:r>
              <w:t>Site Analysis</w:t>
            </w:r>
          </w:p>
          <w:p w14:paraId="1CE21A24" w14:textId="77755036" w:rsidR="00911004" w:rsidRPr="008B44DB" w:rsidRDefault="00064D3B" w:rsidP="007E3E72">
            <w:pPr>
              <w:pStyle w:val="ListParagraph"/>
              <w:numPr>
                <w:ilvl w:val="0"/>
                <w:numId w:val="21"/>
              </w:numPr>
              <w:rPr>
                <w:sz w:val="20"/>
                <w:szCs w:val="20"/>
              </w:rPr>
            </w:pPr>
            <w:r>
              <w:rPr>
                <w:sz w:val="20"/>
                <w:szCs w:val="20"/>
              </w:rPr>
              <w:t>Engineering</w:t>
            </w:r>
          </w:p>
        </w:tc>
        <w:tc>
          <w:tcPr>
            <w:tcW w:w="3372" w:type="dxa"/>
            <w:tcBorders>
              <w:top w:val="single" w:sz="4" w:space="0" w:color="auto"/>
              <w:left w:val="single" w:sz="4" w:space="0" w:color="auto"/>
              <w:bottom w:val="single" w:sz="4" w:space="0" w:color="auto"/>
              <w:right w:val="single" w:sz="4" w:space="0" w:color="auto"/>
            </w:tcBorders>
          </w:tcPr>
          <w:p w14:paraId="49B700E1" w14:textId="77777777" w:rsidR="00064D3B" w:rsidRDefault="00064D3B" w:rsidP="00064D3B">
            <w:pPr>
              <w:pStyle w:val="ListParagraph"/>
              <w:numPr>
                <w:ilvl w:val="0"/>
                <w:numId w:val="15"/>
              </w:numPr>
              <w:rPr>
                <w:sz w:val="20"/>
                <w:szCs w:val="20"/>
              </w:rPr>
            </w:pPr>
            <w:r>
              <w:rPr>
                <w:sz w:val="20"/>
                <w:szCs w:val="20"/>
              </w:rPr>
              <w:t>Macaulay (1976)</w:t>
            </w:r>
          </w:p>
          <w:p w14:paraId="76C03B01" w14:textId="58469377" w:rsidR="006D6378" w:rsidRDefault="000F6A6B" w:rsidP="000F6A6B">
            <w:pPr>
              <w:pStyle w:val="ListParagraph"/>
              <w:numPr>
                <w:ilvl w:val="0"/>
                <w:numId w:val="15"/>
              </w:numPr>
              <w:rPr>
                <w:sz w:val="20"/>
                <w:szCs w:val="20"/>
              </w:rPr>
            </w:pPr>
            <w:r w:rsidRPr="000F6A6B">
              <w:rPr>
                <w:sz w:val="20"/>
                <w:szCs w:val="20"/>
              </w:rPr>
              <w:t>Hack, pp. 111-1</w:t>
            </w:r>
            <w:r w:rsidR="00153E9A">
              <w:rPr>
                <w:sz w:val="20"/>
                <w:szCs w:val="20"/>
              </w:rPr>
              <w:t>17</w:t>
            </w:r>
            <w:r>
              <w:rPr>
                <w:sz w:val="20"/>
                <w:szCs w:val="20"/>
              </w:rPr>
              <w:t>; 350-359</w:t>
            </w:r>
          </w:p>
          <w:p w14:paraId="2911A215" w14:textId="27CBDB7A" w:rsidR="00912835" w:rsidRPr="000F6A6B" w:rsidRDefault="00912835" w:rsidP="000F6A6B">
            <w:pPr>
              <w:pStyle w:val="ListParagraph"/>
              <w:numPr>
                <w:ilvl w:val="0"/>
                <w:numId w:val="15"/>
              </w:numPr>
              <w:rPr>
                <w:sz w:val="20"/>
                <w:szCs w:val="20"/>
              </w:rPr>
            </w:pPr>
            <w:r>
              <w:rPr>
                <w:sz w:val="20"/>
                <w:szCs w:val="20"/>
              </w:rPr>
              <w:t>Lin, “Design Process” pp. 149-189</w:t>
            </w:r>
          </w:p>
        </w:tc>
        <w:tc>
          <w:tcPr>
            <w:tcW w:w="2473" w:type="dxa"/>
            <w:tcBorders>
              <w:top w:val="single" w:sz="4" w:space="0" w:color="auto"/>
              <w:left w:val="single" w:sz="4" w:space="0" w:color="auto"/>
              <w:bottom w:val="single" w:sz="4" w:space="0" w:color="auto"/>
              <w:right w:val="single" w:sz="4" w:space="0" w:color="auto"/>
            </w:tcBorders>
          </w:tcPr>
          <w:p w14:paraId="2483D2A7" w14:textId="14FC31C8" w:rsidR="006D6378" w:rsidRDefault="00FA77BA">
            <w:r w:rsidRPr="00FA77BA">
              <w:rPr>
                <w:sz w:val="20"/>
                <w:szCs w:val="20"/>
              </w:rPr>
              <w:t>Anderson, “</w:t>
            </w:r>
            <w:r w:rsidRPr="006A14A3">
              <w:rPr>
                <w:sz w:val="20"/>
                <w:szCs w:val="20"/>
              </w:rPr>
              <w:t>Water Tank Exercise,” p</w:t>
            </w:r>
            <w:r w:rsidRPr="00FA77BA">
              <w:rPr>
                <w:sz w:val="20"/>
                <w:szCs w:val="20"/>
              </w:rPr>
              <w:t xml:space="preserve">p. </w:t>
            </w:r>
            <w:r>
              <w:rPr>
                <w:sz w:val="20"/>
                <w:szCs w:val="20"/>
              </w:rPr>
              <w:t>241</w:t>
            </w:r>
            <w:r w:rsidR="00064D3B">
              <w:rPr>
                <w:sz w:val="20"/>
                <w:szCs w:val="20"/>
              </w:rPr>
              <w:t xml:space="preserve"> &amp; </w:t>
            </w:r>
            <w:r w:rsidR="00064D3B" w:rsidRPr="00FA77BA">
              <w:rPr>
                <w:sz w:val="20"/>
                <w:szCs w:val="20"/>
              </w:rPr>
              <w:t>“</w:t>
            </w:r>
            <w:r w:rsidR="00064D3B">
              <w:rPr>
                <w:sz w:val="20"/>
                <w:szCs w:val="20"/>
              </w:rPr>
              <w:t xml:space="preserve">Sewer System </w:t>
            </w:r>
            <w:r w:rsidR="00064D3B" w:rsidRPr="00FA77BA">
              <w:rPr>
                <w:sz w:val="20"/>
                <w:szCs w:val="20"/>
              </w:rPr>
              <w:t>Exercise,” pp. 2</w:t>
            </w:r>
            <w:r w:rsidR="00064D3B">
              <w:rPr>
                <w:sz w:val="20"/>
                <w:szCs w:val="20"/>
              </w:rPr>
              <w:t>42</w:t>
            </w:r>
            <w:r w:rsidR="00064D3B" w:rsidRPr="00FA77BA">
              <w:rPr>
                <w:sz w:val="20"/>
                <w:szCs w:val="20"/>
              </w:rPr>
              <w:t>-4</w:t>
            </w:r>
            <w:r w:rsidR="00064D3B">
              <w:rPr>
                <w:sz w:val="20"/>
                <w:szCs w:val="20"/>
              </w:rPr>
              <w:t>4</w:t>
            </w:r>
          </w:p>
        </w:tc>
      </w:tr>
      <w:tr w:rsidR="006D6378" w14:paraId="3EF51751" w14:textId="77777777" w:rsidTr="003B50B1">
        <w:tc>
          <w:tcPr>
            <w:tcW w:w="1031" w:type="dxa"/>
            <w:tcBorders>
              <w:top w:val="single" w:sz="4" w:space="0" w:color="auto"/>
              <w:left w:val="single" w:sz="4" w:space="0" w:color="auto"/>
              <w:bottom w:val="single" w:sz="4" w:space="0" w:color="auto"/>
              <w:right w:val="single" w:sz="4" w:space="0" w:color="auto"/>
            </w:tcBorders>
          </w:tcPr>
          <w:p w14:paraId="3E68400B" w14:textId="77777777" w:rsidR="006D6378" w:rsidRDefault="007470DB">
            <w:r>
              <w:t>2/21</w:t>
            </w:r>
          </w:p>
        </w:tc>
        <w:tc>
          <w:tcPr>
            <w:tcW w:w="1754" w:type="dxa"/>
            <w:tcBorders>
              <w:top w:val="single" w:sz="4" w:space="0" w:color="auto"/>
              <w:left w:val="single" w:sz="4" w:space="0" w:color="auto"/>
              <w:bottom w:val="single" w:sz="4" w:space="0" w:color="auto"/>
              <w:right w:val="single" w:sz="4" w:space="0" w:color="auto"/>
            </w:tcBorders>
          </w:tcPr>
          <w:p w14:paraId="173ADC87" w14:textId="77777777" w:rsidR="006D6378" w:rsidRDefault="007E3E72">
            <w:pPr>
              <w:rPr>
                <w:b/>
              </w:rPr>
            </w:pPr>
            <w:r>
              <w:rPr>
                <w:b/>
              </w:rPr>
              <w:t>Subdivision Regulation</w:t>
            </w:r>
          </w:p>
          <w:p w14:paraId="315B377A" w14:textId="5AE11838" w:rsidR="00911004" w:rsidRPr="006A14A3" w:rsidRDefault="006A14A3" w:rsidP="006A14A3">
            <w:pPr>
              <w:pStyle w:val="ListParagraph"/>
              <w:numPr>
                <w:ilvl w:val="0"/>
                <w:numId w:val="22"/>
              </w:numPr>
              <w:rPr>
                <w:b/>
                <w:sz w:val="20"/>
                <w:szCs w:val="20"/>
              </w:rPr>
            </w:pPr>
            <w:r w:rsidRPr="006A14A3">
              <w:rPr>
                <w:sz w:val="20"/>
                <w:szCs w:val="20"/>
              </w:rPr>
              <w:t>Plat design</w:t>
            </w:r>
          </w:p>
          <w:p w14:paraId="406DB8A4" w14:textId="482AE9E1" w:rsidR="00911004" w:rsidRPr="007E3E72" w:rsidRDefault="00911004">
            <w:pPr>
              <w:rPr>
                <w:b/>
              </w:rPr>
            </w:pPr>
          </w:p>
        </w:tc>
        <w:tc>
          <w:tcPr>
            <w:tcW w:w="3372" w:type="dxa"/>
            <w:tcBorders>
              <w:top w:val="single" w:sz="4" w:space="0" w:color="auto"/>
              <w:left w:val="single" w:sz="4" w:space="0" w:color="auto"/>
              <w:bottom w:val="single" w:sz="4" w:space="0" w:color="auto"/>
              <w:right w:val="single" w:sz="4" w:space="0" w:color="auto"/>
            </w:tcBorders>
          </w:tcPr>
          <w:p w14:paraId="4719760B" w14:textId="7DBED45C" w:rsidR="006D6378" w:rsidRPr="009A6DB8" w:rsidRDefault="004C08E8" w:rsidP="001D744A">
            <w:pPr>
              <w:pStyle w:val="ListParagraph"/>
              <w:numPr>
                <w:ilvl w:val="0"/>
                <w:numId w:val="12"/>
              </w:numPr>
              <w:rPr>
                <w:rStyle w:val="Hyperlink"/>
                <w:color w:val="auto"/>
                <w:sz w:val="20"/>
                <w:szCs w:val="20"/>
                <w:u w:val="none"/>
              </w:rPr>
            </w:pPr>
            <w:hyperlink r:id="rId25" w:history="1">
              <w:r w:rsidR="00AC5E8C" w:rsidRPr="003B50B1">
                <w:rPr>
                  <w:rStyle w:val="Hyperlink"/>
                  <w:sz w:val="20"/>
                  <w:szCs w:val="20"/>
                </w:rPr>
                <w:t>LMC Handbook Ch. 13</w:t>
              </w:r>
              <w:r w:rsidR="0086058B" w:rsidRPr="003B50B1">
                <w:rPr>
                  <w:rStyle w:val="Hyperlink"/>
                  <w:sz w:val="20"/>
                  <w:szCs w:val="20"/>
                </w:rPr>
                <w:t>—Land Use</w:t>
              </w:r>
            </w:hyperlink>
          </w:p>
          <w:p w14:paraId="1CE5DB1D" w14:textId="5457ACB7" w:rsidR="009A6DB8" w:rsidRPr="003B50B1" w:rsidRDefault="004C08E8" w:rsidP="001D744A">
            <w:pPr>
              <w:pStyle w:val="ListParagraph"/>
              <w:numPr>
                <w:ilvl w:val="0"/>
                <w:numId w:val="12"/>
              </w:numPr>
              <w:rPr>
                <w:sz w:val="20"/>
                <w:szCs w:val="20"/>
              </w:rPr>
            </w:pPr>
            <w:hyperlink r:id="rId26" w:history="1">
              <w:r w:rsidR="009A6DB8" w:rsidRPr="009A6DB8">
                <w:rPr>
                  <w:rStyle w:val="Hyperlink"/>
                  <w:sz w:val="20"/>
                  <w:szCs w:val="20"/>
                </w:rPr>
                <w:t>Mankato Subdivision Ordinance</w:t>
              </w:r>
            </w:hyperlink>
          </w:p>
          <w:p w14:paraId="4C5DEC24" w14:textId="1F89D04C" w:rsidR="00113D9C" w:rsidRDefault="00113D9C" w:rsidP="001D744A">
            <w:pPr>
              <w:pStyle w:val="ListParagraph"/>
              <w:numPr>
                <w:ilvl w:val="0"/>
                <w:numId w:val="12"/>
              </w:numPr>
              <w:rPr>
                <w:sz w:val="20"/>
                <w:szCs w:val="20"/>
              </w:rPr>
            </w:pPr>
            <w:r w:rsidRPr="003B50B1">
              <w:rPr>
                <w:sz w:val="20"/>
                <w:szCs w:val="20"/>
              </w:rPr>
              <w:t>Reed, “How to Red-Pencil Preliminary Subdivision Plats,” in Solnit, pp. 57-79</w:t>
            </w:r>
          </w:p>
          <w:p w14:paraId="0508C68F" w14:textId="110D4BD4" w:rsidR="001D744A" w:rsidRDefault="004C08E8" w:rsidP="001D744A">
            <w:pPr>
              <w:pStyle w:val="ListParagraph"/>
              <w:numPr>
                <w:ilvl w:val="0"/>
                <w:numId w:val="12"/>
              </w:numPr>
              <w:rPr>
                <w:sz w:val="20"/>
                <w:szCs w:val="20"/>
              </w:rPr>
            </w:pPr>
            <w:hyperlink r:id="rId27" w:history="1">
              <w:r w:rsidR="001D744A" w:rsidRPr="001D744A">
                <w:rPr>
                  <w:rStyle w:val="Hyperlink"/>
                  <w:sz w:val="20"/>
                  <w:szCs w:val="20"/>
                </w:rPr>
                <w:t>LEED for Neighborhood Development</w:t>
              </w:r>
            </w:hyperlink>
          </w:p>
          <w:p w14:paraId="4A3911FF" w14:textId="77777777" w:rsidR="001D744A" w:rsidRDefault="001D744A" w:rsidP="001D744A">
            <w:pPr>
              <w:pStyle w:val="ListParagraph"/>
              <w:numPr>
                <w:ilvl w:val="0"/>
                <w:numId w:val="12"/>
              </w:numPr>
              <w:rPr>
                <w:sz w:val="20"/>
                <w:szCs w:val="20"/>
              </w:rPr>
            </w:pPr>
            <w:r>
              <w:rPr>
                <w:sz w:val="20"/>
                <w:szCs w:val="20"/>
              </w:rPr>
              <w:t>Lynch, Ch. 3 “The User”</w:t>
            </w:r>
          </w:p>
          <w:p w14:paraId="4C5152D4" w14:textId="0DF8DED9" w:rsidR="001D744A" w:rsidRPr="001D744A" w:rsidRDefault="001D744A" w:rsidP="001D744A">
            <w:pPr>
              <w:pStyle w:val="ListParagraph"/>
              <w:numPr>
                <w:ilvl w:val="0"/>
                <w:numId w:val="12"/>
              </w:numPr>
              <w:rPr>
                <w:sz w:val="20"/>
                <w:szCs w:val="20"/>
              </w:rPr>
            </w:pPr>
            <w:r>
              <w:rPr>
                <w:sz w:val="20"/>
                <w:szCs w:val="20"/>
              </w:rPr>
              <w:t>Lin, Ch. 9 “Design Process”</w:t>
            </w:r>
          </w:p>
        </w:tc>
        <w:tc>
          <w:tcPr>
            <w:tcW w:w="2473" w:type="dxa"/>
            <w:tcBorders>
              <w:top w:val="single" w:sz="4" w:space="0" w:color="auto"/>
              <w:left w:val="single" w:sz="4" w:space="0" w:color="auto"/>
              <w:bottom w:val="single" w:sz="4" w:space="0" w:color="auto"/>
              <w:right w:val="single" w:sz="4" w:space="0" w:color="auto"/>
            </w:tcBorders>
          </w:tcPr>
          <w:p w14:paraId="66E37464" w14:textId="16911DF3" w:rsidR="006D6378" w:rsidRDefault="006A14A3">
            <w:r w:rsidRPr="00FA77BA">
              <w:rPr>
                <w:sz w:val="20"/>
                <w:szCs w:val="20"/>
              </w:rPr>
              <w:t>Anderson, “</w:t>
            </w:r>
            <w:r>
              <w:rPr>
                <w:sz w:val="20"/>
                <w:szCs w:val="20"/>
              </w:rPr>
              <w:t>Drainage</w:t>
            </w:r>
            <w:r w:rsidRPr="00FA77BA">
              <w:rPr>
                <w:sz w:val="20"/>
                <w:szCs w:val="20"/>
              </w:rPr>
              <w:t xml:space="preserve"> Exercise,” pp. </w:t>
            </w:r>
            <w:r>
              <w:rPr>
                <w:sz w:val="20"/>
                <w:szCs w:val="20"/>
              </w:rPr>
              <w:t>245-46</w:t>
            </w:r>
          </w:p>
        </w:tc>
      </w:tr>
      <w:tr w:rsidR="006D6378" w14:paraId="057CCD6C" w14:textId="77777777" w:rsidTr="003B50B1">
        <w:tc>
          <w:tcPr>
            <w:tcW w:w="1031" w:type="dxa"/>
            <w:tcBorders>
              <w:top w:val="single" w:sz="4" w:space="0" w:color="auto"/>
              <w:left w:val="single" w:sz="4" w:space="0" w:color="auto"/>
              <w:bottom w:val="single" w:sz="4" w:space="0" w:color="auto"/>
              <w:right w:val="single" w:sz="4" w:space="0" w:color="auto"/>
            </w:tcBorders>
          </w:tcPr>
          <w:p w14:paraId="5B8C42FC" w14:textId="77777777" w:rsidR="006D6378" w:rsidRDefault="007470DB">
            <w:r>
              <w:t>2/28</w:t>
            </w:r>
          </w:p>
        </w:tc>
        <w:tc>
          <w:tcPr>
            <w:tcW w:w="1754" w:type="dxa"/>
            <w:tcBorders>
              <w:top w:val="single" w:sz="4" w:space="0" w:color="auto"/>
              <w:left w:val="single" w:sz="4" w:space="0" w:color="auto"/>
              <w:bottom w:val="single" w:sz="4" w:space="0" w:color="auto"/>
              <w:right w:val="single" w:sz="4" w:space="0" w:color="auto"/>
            </w:tcBorders>
          </w:tcPr>
          <w:p w14:paraId="3576A1C4" w14:textId="07026FE8" w:rsidR="006D6378" w:rsidRDefault="007E3E72">
            <w:r>
              <w:t>Subdivisions</w:t>
            </w:r>
          </w:p>
          <w:p w14:paraId="038BBA94" w14:textId="56C87B5C" w:rsidR="006A14A3" w:rsidRPr="006A14A3" w:rsidRDefault="006A14A3" w:rsidP="006A14A3">
            <w:pPr>
              <w:pStyle w:val="ListParagraph"/>
              <w:numPr>
                <w:ilvl w:val="0"/>
                <w:numId w:val="23"/>
              </w:numPr>
            </w:pPr>
            <w:r>
              <w:rPr>
                <w:sz w:val="20"/>
                <w:szCs w:val="20"/>
              </w:rPr>
              <w:t>Streets</w:t>
            </w:r>
          </w:p>
          <w:p w14:paraId="2EF29F1B" w14:textId="3569AC01" w:rsidR="00911004" w:rsidRDefault="006A14A3" w:rsidP="006A14A3">
            <w:pPr>
              <w:pStyle w:val="ListParagraph"/>
              <w:numPr>
                <w:ilvl w:val="0"/>
                <w:numId w:val="23"/>
              </w:numPr>
            </w:pPr>
            <w:r w:rsidRPr="006A14A3">
              <w:rPr>
                <w:sz w:val="20"/>
                <w:szCs w:val="20"/>
              </w:rPr>
              <w:t>Parking</w:t>
            </w:r>
          </w:p>
        </w:tc>
        <w:tc>
          <w:tcPr>
            <w:tcW w:w="3372" w:type="dxa"/>
            <w:tcBorders>
              <w:top w:val="single" w:sz="4" w:space="0" w:color="auto"/>
              <w:left w:val="single" w:sz="4" w:space="0" w:color="auto"/>
              <w:bottom w:val="single" w:sz="4" w:space="0" w:color="auto"/>
              <w:right w:val="single" w:sz="4" w:space="0" w:color="auto"/>
            </w:tcBorders>
          </w:tcPr>
          <w:p w14:paraId="3EAF33AD" w14:textId="29BD54D5" w:rsidR="006D6378" w:rsidRPr="004250FC" w:rsidRDefault="000F6A6B" w:rsidP="000F6A6B">
            <w:pPr>
              <w:pStyle w:val="ListParagraph"/>
              <w:numPr>
                <w:ilvl w:val="0"/>
                <w:numId w:val="16"/>
              </w:numPr>
            </w:pPr>
            <w:r>
              <w:rPr>
                <w:sz w:val="20"/>
                <w:szCs w:val="20"/>
              </w:rPr>
              <w:t>Hack, pp. 374-377</w:t>
            </w:r>
          </w:p>
          <w:p w14:paraId="2CCE9551" w14:textId="56BF6503" w:rsidR="004250FC" w:rsidRPr="004250FC" w:rsidRDefault="004250FC" w:rsidP="000F6A6B">
            <w:pPr>
              <w:pStyle w:val="ListParagraph"/>
              <w:numPr>
                <w:ilvl w:val="0"/>
                <w:numId w:val="16"/>
              </w:numPr>
              <w:rPr>
                <w:sz w:val="20"/>
                <w:szCs w:val="20"/>
              </w:rPr>
            </w:pPr>
            <w:r w:rsidRPr="004250FC">
              <w:rPr>
                <w:sz w:val="20"/>
                <w:szCs w:val="20"/>
              </w:rPr>
              <w:t>Anderson, pp. 79-150</w:t>
            </w:r>
          </w:p>
        </w:tc>
        <w:tc>
          <w:tcPr>
            <w:tcW w:w="2473" w:type="dxa"/>
            <w:tcBorders>
              <w:top w:val="single" w:sz="4" w:space="0" w:color="auto"/>
              <w:left w:val="single" w:sz="4" w:space="0" w:color="auto"/>
              <w:bottom w:val="single" w:sz="4" w:space="0" w:color="auto"/>
              <w:right w:val="single" w:sz="4" w:space="0" w:color="auto"/>
            </w:tcBorders>
          </w:tcPr>
          <w:p w14:paraId="0C431B59" w14:textId="48D81A40" w:rsidR="006D6378" w:rsidRPr="006A14A3" w:rsidRDefault="006A14A3">
            <w:pPr>
              <w:rPr>
                <w:sz w:val="20"/>
                <w:szCs w:val="20"/>
              </w:rPr>
            </w:pPr>
            <w:r w:rsidRPr="006A14A3">
              <w:rPr>
                <w:sz w:val="20"/>
                <w:szCs w:val="20"/>
              </w:rPr>
              <w:t>AUAR Assignment</w:t>
            </w:r>
          </w:p>
        </w:tc>
      </w:tr>
      <w:tr w:rsidR="00153E9A" w14:paraId="1022F6F1" w14:textId="77777777" w:rsidTr="00D002D7">
        <w:tc>
          <w:tcPr>
            <w:tcW w:w="8630" w:type="dxa"/>
            <w:gridSpan w:val="4"/>
            <w:tcBorders>
              <w:top w:val="single" w:sz="4" w:space="0" w:color="auto"/>
              <w:left w:val="single" w:sz="4" w:space="0" w:color="auto"/>
              <w:bottom w:val="single" w:sz="4" w:space="0" w:color="auto"/>
              <w:right w:val="single" w:sz="4" w:space="0" w:color="auto"/>
            </w:tcBorders>
          </w:tcPr>
          <w:p w14:paraId="505CB89B" w14:textId="73AA008A" w:rsidR="00153E9A" w:rsidRPr="00153E9A" w:rsidRDefault="00153E9A" w:rsidP="00153E9A">
            <w:pPr>
              <w:pStyle w:val="NormalWeb"/>
              <w:jc w:val="center"/>
              <w:rPr>
                <w:b/>
                <w:sz w:val="28"/>
                <w:szCs w:val="28"/>
              </w:rPr>
            </w:pPr>
            <w:r w:rsidRPr="00153E9A">
              <w:rPr>
                <w:b/>
                <w:sz w:val="28"/>
                <w:szCs w:val="28"/>
              </w:rPr>
              <w:t>Break Week</w:t>
            </w:r>
          </w:p>
        </w:tc>
      </w:tr>
      <w:tr w:rsidR="006D6378" w14:paraId="557E8B73" w14:textId="77777777" w:rsidTr="003B50B1">
        <w:tc>
          <w:tcPr>
            <w:tcW w:w="1031" w:type="dxa"/>
            <w:tcBorders>
              <w:top w:val="single" w:sz="4" w:space="0" w:color="auto"/>
              <w:left w:val="single" w:sz="4" w:space="0" w:color="auto"/>
              <w:bottom w:val="single" w:sz="4" w:space="0" w:color="auto"/>
              <w:right w:val="single" w:sz="4" w:space="0" w:color="auto"/>
            </w:tcBorders>
          </w:tcPr>
          <w:p w14:paraId="28682CDB" w14:textId="77777777" w:rsidR="006D6378" w:rsidRDefault="007470DB">
            <w:r>
              <w:t>3/14</w:t>
            </w:r>
          </w:p>
        </w:tc>
        <w:tc>
          <w:tcPr>
            <w:tcW w:w="1754" w:type="dxa"/>
            <w:tcBorders>
              <w:top w:val="single" w:sz="4" w:space="0" w:color="auto"/>
              <w:left w:val="single" w:sz="4" w:space="0" w:color="auto"/>
              <w:bottom w:val="single" w:sz="4" w:space="0" w:color="auto"/>
              <w:right w:val="single" w:sz="4" w:space="0" w:color="auto"/>
            </w:tcBorders>
          </w:tcPr>
          <w:p w14:paraId="29F09EB4" w14:textId="684B7B9E" w:rsidR="006D6378" w:rsidRDefault="007E3E72" w:rsidP="007E3E72">
            <w:r>
              <w:t>Subdivisions</w:t>
            </w:r>
          </w:p>
          <w:p w14:paraId="3598A58B" w14:textId="57DC2984" w:rsidR="00911004" w:rsidRPr="00153E9A" w:rsidRDefault="006A14A3" w:rsidP="007E3E72">
            <w:pPr>
              <w:pStyle w:val="ListParagraph"/>
              <w:numPr>
                <w:ilvl w:val="0"/>
                <w:numId w:val="24"/>
              </w:numPr>
              <w:rPr>
                <w:sz w:val="20"/>
                <w:szCs w:val="20"/>
              </w:rPr>
            </w:pPr>
            <w:r w:rsidRPr="006A14A3">
              <w:rPr>
                <w:sz w:val="20"/>
                <w:szCs w:val="20"/>
              </w:rPr>
              <w:t>Housing</w:t>
            </w:r>
          </w:p>
        </w:tc>
        <w:tc>
          <w:tcPr>
            <w:tcW w:w="3372" w:type="dxa"/>
            <w:tcBorders>
              <w:top w:val="single" w:sz="4" w:space="0" w:color="auto"/>
              <w:left w:val="single" w:sz="4" w:space="0" w:color="auto"/>
              <w:bottom w:val="single" w:sz="4" w:space="0" w:color="auto"/>
              <w:right w:val="single" w:sz="4" w:space="0" w:color="auto"/>
            </w:tcBorders>
          </w:tcPr>
          <w:p w14:paraId="54761EB6" w14:textId="6275713B" w:rsidR="006D6378" w:rsidRPr="004250FC" w:rsidRDefault="004250FC" w:rsidP="004250FC">
            <w:pPr>
              <w:pStyle w:val="ListParagraph"/>
              <w:numPr>
                <w:ilvl w:val="0"/>
                <w:numId w:val="18"/>
              </w:numPr>
              <w:rPr>
                <w:sz w:val="20"/>
                <w:szCs w:val="20"/>
              </w:rPr>
            </w:pPr>
            <w:r w:rsidRPr="004250FC">
              <w:rPr>
                <w:sz w:val="20"/>
                <w:szCs w:val="20"/>
              </w:rPr>
              <w:t>Anderson, pp. 153-237</w:t>
            </w:r>
          </w:p>
        </w:tc>
        <w:tc>
          <w:tcPr>
            <w:tcW w:w="2473" w:type="dxa"/>
            <w:tcBorders>
              <w:top w:val="single" w:sz="4" w:space="0" w:color="auto"/>
              <w:left w:val="single" w:sz="4" w:space="0" w:color="auto"/>
              <w:bottom w:val="single" w:sz="4" w:space="0" w:color="auto"/>
              <w:right w:val="single" w:sz="4" w:space="0" w:color="auto"/>
            </w:tcBorders>
          </w:tcPr>
          <w:p w14:paraId="52850E33" w14:textId="2DD49C24" w:rsidR="006D6378" w:rsidRDefault="00FA77BA">
            <w:r w:rsidRPr="00FA77BA">
              <w:rPr>
                <w:sz w:val="20"/>
                <w:szCs w:val="20"/>
              </w:rPr>
              <w:t>Anderson, “</w:t>
            </w:r>
            <w:r>
              <w:rPr>
                <w:sz w:val="20"/>
                <w:szCs w:val="20"/>
              </w:rPr>
              <w:t>Traffic Assignment</w:t>
            </w:r>
            <w:r w:rsidRPr="00FA77BA">
              <w:rPr>
                <w:sz w:val="20"/>
                <w:szCs w:val="20"/>
              </w:rPr>
              <w:t>,” pp. 2</w:t>
            </w:r>
            <w:r>
              <w:rPr>
                <w:sz w:val="20"/>
                <w:szCs w:val="20"/>
              </w:rPr>
              <w:t>47-249</w:t>
            </w:r>
          </w:p>
        </w:tc>
      </w:tr>
      <w:tr w:rsidR="006D6378" w14:paraId="2A853374" w14:textId="77777777" w:rsidTr="003B50B1">
        <w:tc>
          <w:tcPr>
            <w:tcW w:w="1031" w:type="dxa"/>
            <w:tcBorders>
              <w:top w:val="single" w:sz="4" w:space="0" w:color="auto"/>
              <w:left w:val="single" w:sz="4" w:space="0" w:color="auto"/>
              <w:bottom w:val="single" w:sz="4" w:space="0" w:color="auto"/>
              <w:right w:val="single" w:sz="4" w:space="0" w:color="auto"/>
            </w:tcBorders>
          </w:tcPr>
          <w:p w14:paraId="72B89B35" w14:textId="77777777" w:rsidR="006D6378" w:rsidRDefault="007470DB">
            <w:r>
              <w:t>3/21</w:t>
            </w:r>
          </w:p>
        </w:tc>
        <w:tc>
          <w:tcPr>
            <w:tcW w:w="1754" w:type="dxa"/>
            <w:tcBorders>
              <w:top w:val="single" w:sz="4" w:space="0" w:color="auto"/>
              <w:left w:val="single" w:sz="4" w:space="0" w:color="auto"/>
              <w:bottom w:val="single" w:sz="4" w:space="0" w:color="auto"/>
              <w:right w:val="single" w:sz="4" w:space="0" w:color="auto"/>
            </w:tcBorders>
          </w:tcPr>
          <w:p w14:paraId="4765045A" w14:textId="77777777" w:rsidR="006D6378" w:rsidRDefault="007E3E72">
            <w:pPr>
              <w:rPr>
                <w:b/>
              </w:rPr>
            </w:pPr>
            <w:r>
              <w:rPr>
                <w:b/>
              </w:rPr>
              <w:t>Site Planning</w:t>
            </w:r>
          </w:p>
          <w:p w14:paraId="7A675F30" w14:textId="2F7B8FAD" w:rsidR="00911004" w:rsidRPr="00153E9A" w:rsidRDefault="00153E9A" w:rsidP="0000729C">
            <w:pPr>
              <w:pStyle w:val="ListParagraph"/>
              <w:numPr>
                <w:ilvl w:val="0"/>
                <w:numId w:val="18"/>
              </w:numPr>
              <w:rPr>
                <w:b/>
                <w:sz w:val="20"/>
                <w:szCs w:val="20"/>
              </w:rPr>
            </w:pPr>
            <w:r w:rsidRPr="00153E9A">
              <w:rPr>
                <w:sz w:val="20"/>
                <w:szCs w:val="20"/>
              </w:rPr>
              <w:t>T</w:t>
            </w:r>
            <w:r w:rsidR="0000729C">
              <w:rPr>
                <w:sz w:val="20"/>
                <w:szCs w:val="20"/>
              </w:rPr>
              <w:t>echnical matters</w:t>
            </w:r>
          </w:p>
          <w:p w14:paraId="0E904976" w14:textId="0964C85D" w:rsidR="00911004" w:rsidRPr="007E3E72" w:rsidRDefault="00911004">
            <w:pPr>
              <w:rPr>
                <w:b/>
              </w:rPr>
            </w:pPr>
          </w:p>
        </w:tc>
        <w:tc>
          <w:tcPr>
            <w:tcW w:w="3372" w:type="dxa"/>
            <w:tcBorders>
              <w:top w:val="single" w:sz="4" w:space="0" w:color="auto"/>
              <w:left w:val="single" w:sz="4" w:space="0" w:color="auto"/>
              <w:bottom w:val="single" w:sz="4" w:space="0" w:color="auto"/>
              <w:right w:val="single" w:sz="4" w:space="0" w:color="auto"/>
            </w:tcBorders>
          </w:tcPr>
          <w:p w14:paraId="2B9E26A5" w14:textId="120625EF" w:rsidR="00DD7EFE" w:rsidRDefault="00DD7EFE" w:rsidP="00DD7EFE">
            <w:pPr>
              <w:pStyle w:val="ListParagraph"/>
              <w:numPr>
                <w:ilvl w:val="0"/>
                <w:numId w:val="11"/>
              </w:numPr>
              <w:rPr>
                <w:sz w:val="20"/>
                <w:szCs w:val="20"/>
              </w:rPr>
            </w:pPr>
            <w:r w:rsidRPr="003B50B1">
              <w:rPr>
                <w:sz w:val="20"/>
                <w:szCs w:val="20"/>
              </w:rPr>
              <w:t>Pollock, “</w:t>
            </w:r>
            <w:r>
              <w:rPr>
                <w:sz w:val="20"/>
                <w:szCs w:val="20"/>
              </w:rPr>
              <w:t xml:space="preserve">The Red Penciler’s </w:t>
            </w:r>
            <w:r w:rsidRPr="003B50B1">
              <w:rPr>
                <w:sz w:val="20"/>
                <w:szCs w:val="20"/>
              </w:rPr>
              <w:t xml:space="preserve">Guide to Site Plan Review,” </w:t>
            </w:r>
            <w:r w:rsidRPr="003B50B1">
              <w:rPr>
                <w:i/>
                <w:sz w:val="20"/>
                <w:szCs w:val="20"/>
              </w:rPr>
              <w:t>Planning</w:t>
            </w:r>
            <w:r>
              <w:rPr>
                <w:i/>
                <w:sz w:val="20"/>
                <w:szCs w:val="20"/>
              </w:rPr>
              <w:t xml:space="preserve">, </w:t>
            </w:r>
            <w:r>
              <w:rPr>
                <w:sz w:val="20"/>
                <w:szCs w:val="20"/>
              </w:rPr>
              <w:t>1991,</w:t>
            </w:r>
            <w:r w:rsidRPr="003B50B1">
              <w:rPr>
                <w:sz w:val="20"/>
                <w:szCs w:val="20"/>
              </w:rPr>
              <w:t xml:space="preserve"> 57(4):22-26</w:t>
            </w:r>
          </w:p>
          <w:p w14:paraId="5F33954E" w14:textId="77777777" w:rsidR="001F16AD" w:rsidRPr="001F16AD" w:rsidRDefault="001F16AD" w:rsidP="001F16AD">
            <w:pPr>
              <w:pStyle w:val="ListParagraph"/>
              <w:numPr>
                <w:ilvl w:val="0"/>
                <w:numId w:val="11"/>
              </w:numPr>
            </w:pPr>
            <w:r>
              <w:rPr>
                <w:sz w:val="20"/>
                <w:szCs w:val="20"/>
              </w:rPr>
              <w:t xml:space="preserve">Solnit, “How to Draw a Plot Plan” pp. 30-35 </w:t>
            </w:r>
          </w:p>
          <w:p w14:paraId="505EE445" w14:textId="70C50D99" w:rsidR="001F16AD" w:rsidRDefault="001F16AD" w:rsidP="001F16AD">
            <w:pPr>
              <w:pStyle w:val="ListParagraph"/>
              <w:numPr>
                <w:ilvl w:val="0"/>
                <w:numId w:val="11"/>
              </w:numPr>
            </w:pPr>
            <w:r>
              <w:rPr>
                <w:sz w:val="20"/>
                <w:szCs w:val="20"/>
              </w:rPr>
              <w:t>Reed, “How to Red-Pencil Site Plans” in Solnit, pp. 81-113</w:t>
            </w:r>
          </w:p>
        </w:tc>
        <w:tc>
          <w:tcPr>
            <w:tcW w:w="2473" w:type="dxa"/>
            <w:tcBorders>
              <w:top w:val="single" w:sz="4" w:space="0" w:color="auto"/>
              <w:left w:val="single" w:sz="4" w:space="0" w:color="auto"/>
              <w:bottom w:val="single" w:sz="4" w:space="0" w:color="auto"/>
              <w:right w:val="single" w:sz="4" w:space="0" w:color="auto"/>
            </w:tcBorders>
          </w:tcPr>
          <w:p w14:paraId="636811F1" w14:textId="743BFEDB" w:rsidR="006D6378" w:rsidRPr="003B50B1" w:rsidRDefault="00CD416D">
            <w:pPr>
              <w:rPr>
                <w:sz w:val="20"/>
                <w:szCs w:val="20"/>
              </w:rPr>
            </w:pPr>
            <w:r w:rsidRPr="003B50B1">
              <w:rPr>
                <w:sz w:val="20"/>
                <w:szCs w:val="20"/>
              </w:rPr>
              <w:t>Attend Mankato Site Review Comm, 3/19 @ 1:00 PM</w:t>
            </w:r>
          </w:p>
        </w:tc>
      </w:tr>
      <w:tr w:rsidR="006D6378" w14:paraId="3BA3B50F" w14:textId="77777777" w:rsidTr="003B50B1">
        <w:tc>
          <w:tcPr>
            <w:tcW w:w="1031" w:type="dxa"/>
            <w:tcBorders>
              <w:top w:val="single" w:sz="4" w:space="0" w:color="auto"/>
              <w:left w:val="single" w:sz="4" w:space="0" w:color="auto"/>
              <w:bottom w:val="single" w:sz="4" w:space="0" w:color="auto"/>
              <w:right w:val="single" w:sz="4" w:space="0" w:color="auto"/>
            </w:tcBorders>
          </w:tcPr>
          <w:p w14:paraId="5313A801" w14:textId="77777777" w:rsidR="006D6378" w:rsidRDefault="007470DB">
            <w:r>
              <w:t>3/28</w:t>
            </w:r>
          </w:p>
        </w:tc>
        <w:tc>
          <w:tcPr>
            <w:tcW w:w="1754" w:type="dxa"/>
            <w:tcBorders>
              <w:top w:val="single" w:sz="4" w:space="0" w:color="auto"/>
              <w:left w:val="single" w:sz="4" w:space="0" w:color="auto"/>
              <w:bottom w:val="single" w:sz="4" w:space="0" w:color="auto"/>
              <w:right w:val="single" w:sz="4" w:space="0" w:color="auto"/>
            </w:tcBorders>
          </w:tcPr>
          <w:p w14:paraId="3EA62265" w14:textId="677F38AB" w:rsidR="006D6378" w:rsidRDefault="007E3E72" w:rsidP="007E3E72">
            <w:r>
              <w:t>Site Planning</w:t>
            </w:r>
          </w:p>
          <w:p w14:paraId="748C0A4E" w14:textId="18A3E8A6" w:rsidR="00911004" w:rsidRDefault="0000729C" w:rsidP="007E3E72">
            <w:pPr>
              <w:pStyle w:val="ListParagraph"/>
              <w:numPr>
                <w:ilvl w:val="0"/>
                <w:numId w:val="25"/>
              </w:numPr>
            </w:pPr>
            <w:r>
              <w:rPr>
                <w:sz w:val="20"/>
                <w:szCs w:val="20"/>
              </w:rPr>
              <w:t>Matters of art</w:t>
            </w:r>
          </w:p>
        </w:tc>
        <w:tc>
          <w:tcPr>
            <w:tcW w:w="3372" w:type="dxa"/>
            <w:tcBorders>
              <w:top w:val="single" w:sz="4" w:space="0" w:color="auto"/>
              <w:left w:val="single" w:sz="4" w:space="0" w:color="auto"/>
              <w:bottom w:val="single" w:sz="4" w:space="0" w:color="auto"/>
              <w:right w:val="single" w:sz="4" w:space="0" w:color="auto"/>
            </w:tcBorders>
          </w:tcPr>
          <w:p w14:paraId="0CB2CF7C" w14:textId="77777777" w:rsidR="006D6378" w:rsidRPr="0000729C" w:rsidRDefault="000F6A6B" w:rsidP="000F6A6B">
            <w:pPr>
              <w:pStyle w:val="ListParagraph"/>
              <w:numPr>
                <w:ilvl w:val="0"/>
                <w:numId w:val="11"/>
              </w:numPr>
            </w:pPr>
            <w:r>
              <w:rPr>
                <w:sz w:val="20"/>
                <w:szCs w:val="20"/>
              </w:rPr>
              <w:t>Hack, pp. 1</w:t>
            </w:r>
            <w:r w:rsidR="00153E9A">
              <w:rPr>
                <w:sz w:val="20"/>
                <w:szCs w:val="20"/>
              </w:rPr>
              <w:t>17</w:t>
            </w:r>
            <w:r>
              <w:rPr>
                <w:sz w:val="20"/>
                <w:szCs w:val="20"/>
              </w:rPr>
              <w:t>-127;</w:t>
            </w:r>
            <w:r w:rsidR="00153E9A">
              <w:rPr>
                <w:sz w:val="20"/>
                <w:szCs w:val="20"/>
              </w:rPr>
              <w:t xml:space="preserve"> 359-364;</w:t>
            </w:r>
            <w:r>
              <w:rPr>
                <w:sz w:val="20"/>
                <w:szCs w:val="20"/>
              </w:rPr>
              <w:t xml:space="preserve"> 377-385</w:t>
            </w:r>
          </w:p>
          <w:p w14:paraId="3B745982" w14:textId="040C7A4C" w:rsidR="0000729C" w:rsidRPr="0000729C" w:rsidRDefault="0000729C" w:rsidP="000F6A6B">
            <w:pPr>
              <w:pStyle w:val="ListParagraph"/>
              <w:numPr>
                <w:ilvl w:val="0"/>
                <w:numId w:val="11"/>
              </w:numPr>
              <w:rPr>
                <w:sz w:val="20"/>
                <w:szCs w:val="20"/>
              </w:rPr>
            </w:pPr>
            <w:r w:rsidRPr="0000729C">
              <w:rPr>
                <w:sz w:val="20"/>
                <w:szCs w:val="20"/>
              </w:rPr>
              <w:t xml:space="preserve">Lynch, Ch. 5 </w:t>
            </w:r>
            <w:r>
              <w:rPr>
                <w:sz w:val="20"/>
                <w:szCs w:val="20"/>
              </w:rPr>
              <w:t xml:space="preserve">“Design” </w:t>
            </w:r>
            <w:r w:rsidRPr="0000729C">
              <w:rPr>
                <w:sz w:val="20"/>
                <w:szCs w:val="20"/>
              </w:rPr>
              <w:t>&amp; 6</w:t>
            </w:r>
            <w:r>
              <w:rPr>
                <w:sz w:val="20"/>
                <w:szCs w:val="20"/>
              </w:rPr>
              <w:t xml:space="preserve"> “Sensed Landscape”</w:t>
            </w:r>
          </w:p>
        </w:tc>
        <w:tc>
          <w:tcPr>
            <w:tcW w:w="2473" w:type="dxa"/>
            <w:tcBorders>
              <w:top w:val="single" w:sz="4" w:space="0" w:color="auto"/>
              <w:left w:val="single" w:sz="4" w:space="0" w:color="auto"/>
              <w:bottom w:val="single" w:sz="4" w:space="0" w:color="auto"/>
              <w:right w:val="single" w:sz="4" w:space="0" w:color="auto"/>
            </w:tcBorders>
          </w:tcPr>
          <w:p w14:paraId="799A9DC6" w14:textId="6F4E23B1" w:rsidR="006D6378" w:rsidRDefault="00FA77BA">
            <w:r w:rsidRPr="00FA77BA">
              <w:rPr>
                <w:sz w:val="20"/>
                <w:szCs w:val="20"/>
              </w:rPr>
              <w:t>Anderson, “</w:t>
            </w:r>
            <w:r>
              <w:rPr>
                <w:sz w:val="20"/>
                <w:szCs w:val="20"/>
              </w:rPr>
              <w:t>Roads</w:t>
            </w:r>
            <w:r w:rsidRPr="00FA77BA">
              <w:rPr>
                <w:sz w:val="20"/>
                <w:szCs w:val="20"/>
              </w:rPr>
              <w:t xml:space="preserve"> Exercise,” pp. 2</w:t>
            </w:r>
            <w:r>
              <w:rPr>
                <w:sz w:val="20"/>
                <w:szCs w:val="20"/>
              </w:rPr>
              <w:t>50-52</w:t>
            </w:r>
          </w:p>
        </w:tc>
      </w:tr>
      <w:tr w:rsidR="006D6378" w14:paraId="4A5D1E39" w14:textId="77777777" w:rsidTr="003B50B1">
        <w:tc>
          <w:tcPr>
            <w:tcW w:w="1031" w:type="dxa"/>
            <w:tcBorders>
              <w:top w:val="single" w:sz="4" w:space="0" w:color="auto"/>
              <w:left w:val="single" w:sz="4" w:space="0" w:color="auto"/>
              <w:bottom w:val="single" w:sz="4" w:space="0" w:color="auto"/>
              <w:right w:val="single" w:sz="4" w:space="0" w:color="auto"/>
            </w:tcBorders>
          </w:tcPr>
          <w:p w14:paraId="1265CB4E" w14:textId="77777777" w:rsidR="006D6378" w:rsidRDefault="007470DB">
            <w:r>
              <w:t>4/4</w:t>
            </w:r>
          </w:p>
        </w:tc>
        <w:tc>
          <w:tcPr>
            <w:tcW w:w="1754" w:type="dxa"/>
            <w:tcBorders>
              <w:top w:val="single" w:sz="4" w:space="0" w:color="auto"/>
              <w:left w:val="single" w:sz="4" w:space="0" w:color="auto"/>
              <w:bottom w:val="single" w:sz="4" w:space="0" w:color="auto"/>
              <w:right w:val="single" w:sz="4" w:space="0" w:color="auto"/>
            </w:tcBorders>
          </w:tcPr>
          <w:p w14:paraId="2228D8D8" w14:textId="6320DC61" w:rsidR="00911004" w:rsidRDefault="007E3E72">
            <w:r>
              <w:t>Site Planning</w:t>
            </w:r>
          </w:p>
        </w:tc>
        <w:tc>
          <w:tcPr>
            <w:tcW w:w="3372" w:type="dxa"/>
            <w:tcBorders>
              <w:top w:val="single" w:sz="4" w:space="0" w:color="auto"/>
              <w:left w:val="single" w:sz="4" w:space="0" w:color="auto"/>
              <w:bottom w:val="single" w:sz="4" w:space="0" w:color="auto"/>
              <w:right w:val="single" w:sz="4" w:space="0" w:color="auto"/>
            </w:tcBorders>
          </w:tcPr>
          <w:p w14:paraId="1413A67F" w14:textId="28652ECD" w:rsidR="006D6378" w:rsidRDefault="006D6378"/>
        </w:tc>
        <w:tc>
          <w:tcPr>
            <w:tcW w:w="2473" w:type="dxa"/>
            <w:tcBorders>
              <w:top w:val="single" w:sz="4" w:space="0" w:color="auto"/>
              <w:left w:val="single" w:sz="4" w:space="0" w:color="auto"/>
              <w:bottom w:val="single" w:sz="4" w:space="0" w:color="auto"/>
              <w:right w:val="single" w:sz="4" w:space="0" w:color="auto"/>
            </w:tcBorders>
          </w:tcPr>
          <w:p w14:paraId="50E70950" w14:textId="2E2EDE62" w:rsidR="006D6378" w:rsidRDefault="00FA77BA">
            <w:r w:rsidRPr="00FA77BA">
              <w:rPr>
                <w:sz w:val="20"/>
                <w:szCs w:val="20"/>
              </w:rPr>
              <w:t>Anderson, “</w:t>
            </w:r>
            <w:r>
              <w:rPr>
                <w:sz w:val="20"/>
                <w:szCs w:val="20"/>
              </w:rPr>
              <w:t>Parking</w:t>
            </w:r>
            <w:r w:rsidRPr="00FA77BA">
              <w:rPr>
                <w:sz w:val="20"/>
                <w:szCs w:val="20"/>
              </w:rPr>
              <w:t xml:space="preserve"> Exercise,” pp. 2</w:t>
            </w:r>
            <w:r>
              <w:rPr>
                <w:sz w:val="20"/>
                <w:szCs w:val="20"/>
              </w:rPr>
              <w:t>52-54</w:t>
            </w:r>
          </w:p>
        </w:tc>
      </w:tr>
      <w:tr w:rsidR="006D6378" w14:paraId="101CB698" w14:textId="77777777" w:rsidTr="003B50B1">
        <w:tc>
          <w:tcPr>
            <w:tcW w:w="1031" w:type="dxa"/>
            <w:tcBorders>
              <w:top w:val="single" w:sz="4" w:space="0" w:color="auto"/>
              <w:left w:val="single" w:sz="4" w:space="0" w:color="auto"/>
              <w:bottom w:val="single" w:sz="4" w:space="0" w:color="auto"/>
              <w:right w:val="single" w:sz="4" w:space="0" w:color="auto"/>
            </w:tcBorders>
          </w:tcPr>
          <w:p w14:paraId="715D5A94" w14:textId="77777777" w:rsidR="006D6378" w:rsidRDefault="007470DB">
            <w:r>
              <w:t>4/11</w:t>
            </w:r>
          </w:p>
        </w:tc>
        <w:tc>
          <w:tcPr>
            <w:tcW w:w="1754" w:type="dxa"/>
            <w:tcBorders>
              <w:top w:val="single" w:sz="4" w:space="0" w:color="auto"/>
              <w:left w:val="single" w:sz="4" w:space="0" w:color="auto"/>
              <w:bottom w:val="single" w:sz="4" w:space="0" w:color="auto"/>
              <w:right w:val="single" w:sz="4" w:space="0" w:color="auto"/>
            </w:tcBorders>
          </w:tcPr>
          <w:p w14:paraId="416DF566" w14:textId="6DBC560D" w:rsidR="00911004" w:rsidRPr="0000729C" w:rsidRDefault="007E3E72" w:rsidP="007E3E72">
            <w:pPr>
              <w:rPr>
                <w:b/>
              </w:rPr>
            </w:pPr>
            <w:r>
              <w:rPr>
                <w:b/>
              </w:rPr>
              <w:t>Zoning</w:t>
            </w:r>
          </w:p>
        </w:tc>
        <w:tc>
          <w:tcPr>
            <w:tcW w:w="3372" w:type="dxa"/>
            <w:tcBorders>
              <w:top w:val="single" w:sz="4" w:space="0" w:color="auto"/>
              <w:left w:val="single" w:sz="4" w:space="0" w:color="auto"/>
              <w:bottom w:val="single" w:sz="4" w:space="0" w:color="auto"/>
              <w:right w:val="single" w:sz="4" w:space="0" w:color="auto"/>
            </w:tcBorders>
          </w:tcPr>
          <w:p w14:paraId="01F8DE53" w14:textId="77777777" w:rsidR="006D6378" w:rsidRPr="001F16AD" w:rsidRDefault="000F6A6B" w:rsidP="000F6A6B">
            <w:pPr>
              <w:pStyle w:val="NormalWeb"/>
              <w:numPr>
                <w:ilvl w:val="0"/>
                <w:numId w:val="11"/>
              </w:numPr>
              <w:rPr>
                <w:bCs/>
              </w:rPr>
            </w:pPr>
            <w:r>
              <w:rPr>
                <w:bCs/>
                <w:sz w:val="20"/>
                <w:szCs w:val="20"/>
              </w:rPr>
              <w:t>Hack, pp. 287-291; 298-307; 377-385</w:t>
            </w:r>
          </w:p>
          <w:p w14:paraId="326C1BBA" w14:textId="3AFC00CF" w:rsidR="001F16AD" w:rsidRPr="001F16AD" w:rsidRDefault="001F16AD" w:rsidP="008B44DB">
            <w:pPr>
              <w:pStyle w:val="NormalWeb"/>
              <w:numPr>
                <w:ilvl w:val="0"/>
                <w:numId w:val="11"/>
              </w:numPr>
              <w:spacing w:before="0" w:beforeAutospacing="0" w:after="0" w:afterAutospacing="0"/>
              <w:rPr>
                <w:bCs/>
                <w:sz w:val="20"/>
                <w:szCs w:val="20"/>
              </w:rPr>
            </w:pPr>
            <w:proofErr w:type="spellStart"/>
            <w:r w:rsidRPr="001F16AD">
              <w:rPr>
                <w:bCs/>
                <w:sz w:val="20"/>
                <w:szCs w:val="20"/>
              </w:rPr>
              <w:t>Erley</w:t>
            </w:r>
            <w:proofErr w:type="spellEnd"/>
            <w:r>
              <w:rPr>
                <w:bCs/>
                <w:sz w:val="20"/>
                <w:szCs w:val="20"/>
              </w:rPr>
              <w:t>, “Writing Better Zoning Reports,” in Solnit pp. 139-149</w:t>
            </w:r>
          </w:p>
        </w:tc>
        <w:tc>
          <w:tcPr>
            <w:tcW w:w="2473" w:type="dxa"/>
            <w:tcBorders>
              <w:top w:val="single" w:sz="4" w:space="0" w:color="auto"/>
              <w:left w:val="single" w:sz="4" w:space="0" w:color="auto"/>
              <w:bottom w:val="single" w:sz="4" w:space="0" w:color="auto"/>
              <w:right w:val="single" w:sz="4" w:space="0" w:color="auto"/>
            </w:tcBorders>
          </w:tcPr>
          <w:p w14:paraId="787087F5" w14:textId="30CDEA31" w:rsidR="006D6378" w:rsidRDefault="00FA77BA">
            <w:r w:rsidRPr="00FA77BA">
              <w:rPr>
                <w:sz w:val="20"/>
                <w:szCs w:val="20"/>
              </w:rPr>
              <w:t>Anderson, “</w:t>
            </w:r>
            <w:r>
              <w:rPr>
                <w:sz w:val="20"/>
                <w:szCs w:val="20"/>
              </w:rPr>
              <w:t>Subdivision</w:t>
            </w:r>
            <w:r w:rsidRPr="00FA77BA">
              <w:rPr>
                <w:sz w:val="20"/>
                <w:szCs w:val="20"/>
              </w:rPr>
              <w:t xml:space="preserve"> Exercise,” pp. 2</w:t>
            </w:r>
            <w:r>
              <w:rPr>
                <w:sz w:val="20"/>
                <w:szCs w:val="20"/>
              </w:rPr>
              <w:t>58-59</w:t>
            </w:r>
          </w:p>
        </w:tc>
      </w:tr>
      <w:tr w:rsidR="006D6378" w14:paraId="3865B77B" w14:textId="77777777" w:rsidTr="003B50B1">
        <w:tc>
          <w:tcPr>
            <w:tcW w:w="1031" w:type="dxa"/>
            <w:tcBorders>
              <w:top w:val="single" w:sz="4" w:space="0" w:color="auto"/>
              <w:left w:val="single" w:sz="4" w:space="0" w:color="auto"/>
              <w:bottom w:val="single" w:sz="4" w:space="0" w:color="auto"/>
              <w:right w:val="single" w:sz="4" w:space="0" w:color="auto"/>
            </w:tcBorders>
          </w:tcPr>
          <w:p w14:paraId="3895B0F9" w14:textId="77777777" w:rsidR="006D6378" w:rsidRDefault="007470DB">
            <w:r>
              <w:t>4/18</w:t>
            </w:r>
          </w:p>
        </w:tc>
        <w:tc>
          <w:tcPr>
            <w:tcW w:w="1754" w:type="dxa"/>
            <w:tcBorders>
              <w:top w:val="single" w:sz="4" w:space="0" w:color="auto"/>
              <w:left w:val="single" w:sz="4" w:space="0" w:color="auto"/>
              <w:bottom w:val="single" w:sz="4" w:space="0" w:color="auto"/>
              <w:right w:val="single" w:sz="4" w:space="0" w:color="auto"/>
            </w:tcBorders>
          </w:tcPr>
          <w:p w14:paraId="2CF0DF35" w14:textId="67390E67" w:rsidR="00911004" w:rsidRDefault="007E3E72" w:rsidP="007E3E72">
            <w:r>
              <w:t>Zoning</w:t>
            </w:r>
          </w:p>
        </w:tc>
        <w:tc>
          <w:tcPr>
            <w:tcW w:w="3372" w:type="dxa"/>
            <w:tcBorders>
              <w:top w:val="single" w:sz="4" w:space="0" w:color="auto"/>
              <w:left w:val="single" w:sz="4" w:space="0" w:color="auto"/>
              <w:bottom w:val="single" w:sz="4" w:space="0" w:color="auto"/>
              <w:right w:val="single" w:sz="4" w:space="0" w:color="auto"/>
            </w:tcBorders>
          </w:tcPr>
          <w:p w14:paraId="2FAFC8C6" w14:textId="39F005EA" w:rsidR="006D6378" w:rsidRDefault="004C08E8" w:rsidP="008B44DB">
            <w:pPr>
              <w:pStyle w:val="NormalWeb"/>
              <w:numPr>
                <w:ilvl w:val="0"/>
                <w:numId w:val="26"/>
              </w:numPr>
              <w:spacing w:after="0" w:afterAutospacing="0"/>
            </w:pPr>
            <w:hyperlink r:id="rId28" w:history="1">
              <w:r w:rsidR="009A6DB8" w:rsidRPr="009A6DB8">
                <w:rPr>
                  <w:rStyle w:val="Hyperlink"/>
                  <w:sz w:val="20"/>
                  <w:szCs w:val="20"/>
                </w:rPr>
                <w:t>Mankato Zoning Ordinance</w:t>
              </w:r>
            </w:hyperlink>
          </w:p>
        </w:tc>
        <w:tc>
          <w:tcPr>
            <w:tcW w:w="2473" w:type="dxa"/>
            <w:tcBorders>
              <w:top w:val="single" w:sz="4" w:space="0" w:color="auto"/>
              <w:left w:val="single" w:sz="4" w:space="0" w:color="auto"/>
              <w:bottom w:val="single" w:sz="4" w:space="0" w:color="auto"/>
              <w:right w:val="single" w:sz="4" w:space="0" w:color="auto"/>
            </w:tcBorders>
          </w:tcPr>
          <w:p w14:paraId="05B62994" w14:textId="65F5A9AE" w:rsidR="006D6378" w:rsidRPr="00FA77BA" w:rsidRDefault="00FA77BA">
            <w:pPr>
              <w:rPr>
                <w:sz w:val="20"/>
                <w:szCs w:val="20"/>
              </w:rPr>
            </w:pPr>
            <w:r w:rsidRPr="00FA77BA">
              <w:rPr>
                <w:sz w:val="20"/>
                <w:szCs w:val="20"/>
              </w:rPr>
              <w:t>Red-Pencil Classmate’s Subdivision</w:t>
            </w:r>
          </w:p>
        </w:tc>
      </w:tr>
      <w:tr w:rsidR="006D6378" w14:paraId="169C9ED7" w14:textId="77777777" w:rsidTr="003B50B1">
        <w:tc>
          <w:tcPr>
            <w:tcW w:w="1031" w:type="dxa"/>
            <w:tcBorders>
              <w:top w:val="single" w:sz="4" w:space="0" w:color="auto"/>
              <w:left w:val="single" w:sz="4" w:space="0" w:color="auto"/>
              <w:bottom w:val="single" w:sz="4" w:space="0" w:color="auto"/>
              <w:right w:val="single" w:sz="4" w:space="0" w:color="auto"/>
            </w:tcBorders>
          </w:tcPr>
          <w:p w14:paraId="313CC3AC" w14:textId="77777777" w:rsidR="006D6378" w:rsidRDefault="007470DB">
            <w:r>
              <w:t>4/25</w:t>
            </w:r>
          </w:p>
        </w:tc>
        <w:tc>
          <w:tcPr>
            <w:tcW w:w="1754" w:type="dxa"/>
            <w:tcBorders>
              <w:top w:val="single" w:sz="4" w:space="0" w:color="auto"/>
              <w:left w:val="single" w:sz="4" w:space="0" w:color="auto"/>
              <w:bottom w:val="single" w:sz="4" w:space="0" w:color="auto"/>
              <w:right w:val="single" w:sz="4" w:space="0" w:color="auto"/>
            </w:tcBorders>
          </w:tcPr>
          <w:p w14:paraId="25DB9469" w14:textId="77777777" w:rsidR="006D6378" w:rsidRDefault="007E3E72">
            <w:pPr>
              <w:rPr>
                <w:b/>
              </w:rPr>
            </w:pPr>
            <w:r>
              <w:rPr>
                <w:b/>
              </w:rPr>
              <w:t>Impact Assessment</w:t>
            </w:r>
          </w:p>
          <w:p w14:paraId="732D37ED" w14:textId="77777777" w:rsidR="00911004" w:rsidRDefault="00911004">
            <w:pPr>
              <w:rPr>
                <w:b/>
              </w:rPr>
            </w:pPr>
          </w:p>
          <w:p w14:paraId="032B7D19" w14:textId="73D9520A" w:rsidR="00911004" w:rsidRPr="007E3E72" w:rsidRDefault="00911004">
            <w:pPr>
              <w:rPr>
                <w:b/>
              </w:rPr>
            </w:pPr>
          </w:p>
        </w:tc>
        <w:tc>
          <w:tcPr>
            <w:tcW w:w="3372" w:type="dxa"/>
            <w:tcBorders>
              <w:top w:val="single" w:sz="4" w:space="0" w:color="auto"/>
              <w:left w:val="single" w:sz="4" w:space="0" w:color="auto"/>
              <w:bottom w:val="single" w:sz="4" w:space="0" w:color="auto"/>
              <w:right w:val="single" w:sz="4" w:space="0" w:color="auto"/>
            </w:tcBorders>
          </w:tcPr>
          <w:p w14:paraId="6608CF96" w14:textId="77777777" w:rsidR="006D6378" w:rsidRPr="000F6A6B" w:rsidRDefault="004C08E8" w:rsidP="003B50B1">
            <w:pPr>
              <w:pStyle w:val="ListParagraph"/>
              <w:numPr>
                <w:ilvl w:val="0"/>
                <w:numId w:val="13"/>
              </w:numPr>
              <w:rPr>
                <w:rStyle w:val="Hyperlink"/>
                <w:color w:val="auto"/>
                <w:sz w:val="20"/>
                <w:szCs w:val="20"/>
                <w:u w:val="none"/>
              </w:rPr>
            </w:pPr>
            <w:hyperlink r:id="rId29" w:history="1">
              <w:r w:rsidR="0086058B" w:rsidRPr="003B50B1">
                <w:rPr>
                  <w:rStyle w:val="Hyperlink"/>
                  <w:sz w:val="20"/>
                  <w:szCs w:val="20"/>
                </w:rPr>
                <w:t>LMC Handbook Ch. 14—Community Development</w:t>
              </w:r>
            </w:hyperlink>
          </w:p>
          <w:p w14:paraId="58F18B70" w14:textId="77777777" w:rsidR="000F6A6B" w:rsidRDefault="000F6A6B" w:rsidP="003B50B1">
            <w:pPr>
              <w:pStyle w:val="ListParagraph"/>
              <w:numPr>
                <w:ilvl w:val="0"/>
                <w:numId w:val="13"/>
              </w:numPr>
              <w:rPr>
                <w:sz w:val="20"/>
                <w:szCs w:val="20"/>
              </w:rPr>
            </w:pPr>
            <w:r>
              <w:rPr>
                <w:sz w:val="20"/>
                <w:szCs w:val="20"/>
              </w:rPr>
              <w:t>Hack, pp. 335-339</w:t>
            </w:r>
          </w:p>
          <w:p w14:paraId="366AD2DE" w14:textId="252A40D4" w:rsidR="001F16AD" w:rsidRPr="003B50B1" w:rsidRDefault="001F16AD" w:rsidP="003B50B1">
            <w:pPr>
              <w:pStyle w:val="ListParagraph"/>
              <w:numPr>
                <w:ilvl w:val="0"/>
                <w:numId w:val="13"/>
              </w:numPr>
              <w:rPr>
                <w:sz w:val="20"/>
                <w:szCs w:val="20"/>
              </w:rPr>
            </w:pPr>
            <w:r>
              <w:rPr>
                <w:sz w:val="20"/>
                <w:szCs w:val="20"/>
              </w:rPr>
              <w:t>“The Public Economics of Development Impacts,” in Solnit pp. 151-171</w:t>
            </w:r>
          </w:p>
        </w:tc>
        <w:tc>
          <w:tcPr>
            <w:tcW w:w="2473" w:type="dxa"/>
            <w:tcBorders>
              <w:top w:val="single" w:sz="4" w:space="0" w:color="auto"/>
              <w:left w:val="single" w:sz="4" w:space="0" w:color="auto"/>
              <w:bottom w:val="single" w:sz="4" w:space="0" w:color="auto"/>
              <w:right w:val="single" w:sz="4" w:space="0" w:color="auto"/>
            </w:tcBorders>
          </w:tcPr>
          <w:p w14:paraId="3B285DA0" w14:textId="16344FBD" w:rsidR="006D6378" w:rsidRPr="009B27B7" w:rsidRDefault="009B27B7">
            <w:pPr>
              <w:rPr>
                <w:sz w:val="20"/>
                <w:szCs w:val="20"/>
              </w:rPr>
            </w:pPr>
            <w:r w:rsidRPr="009B27B7">
              <w:rPr>
                <w:sz w:val="20"/>
                <w:szCs w:val="20"/>
              </w:rPr>
              <w:t xml:space="preserve">Zoning Ordinance </w:t>
            </w:r>
            <w:r>
              <w:rPr>
                <w:sz w:val="20"/>
                <w:szCs w:val="20"/>
              </w:rPr>
              <w:t>Recommendation</w:t>
            </w:r>
          </w:p>
        </w:tc>
      </w:tr>
      <w:tr w:rsidR="007470DB" w14:paraId="48801234" w14:textId="77777777" w:rsidTr="003B50B1">
        <w:tc>
          <w:tcPr>
            <w:tcW w:w="1031" w:type="dxa"/>
            <w:tcBorders>
              <w:top w:val="single" w:sz="4" w:space="0" w:color="auto"/>
              <w:left w:val="single" w:sz="4" w:space="0" w:color="auto"/>
              <w:bottom w:val="single" w:sz="4" w:space="0" w:color="auto"/>
              <w:right w:val="single" w:sz="4" w:space="0" w:color="auto"/>
            </w:tcBorders>
          </w:tcPr>
          <w:p w14:paraId="11865E2C" w14:textId="77777777" w:rsidR="007470DB" w:rsidRDefault="007470DB">
            <w:r>
              <w:t>5/2</w:t>
            </w:r>
          </w:p>
        </w:tc>
        <w:tc>
          <w:tcPr>
            <w:tcW w:w="1754" w:type="dxa"/>
            <w:tcBorders>
              <w:top w:val="single" w:sz="4" w:space="0" w:color="auto"/>
              <w:left w:val="single" w:sz="4" w:space="0" w:color="auto"/>
              <w:bottom w:val="single" w:sz="4" w:space="0" w:color="auto"/>
              <w:right w:val="single" w:sz="4" w:space="0" w:color="auto"/>
            </w:tcBorders>
          </w:tcPr>
          <w:p w14:paraId="6AD77D12" w14:textId="41A46C80" w:rsidR="00911004" w:rsidRPr="007E3E72" w:rsidRDefault="007E3E72" w:rsidP="008B44DB">
            <w:r>
              <w:t>Impact Assessm</w:t>
            </w:r>
            <w:r w:rsidR="008B44DB">
              <w:t>en</w:t>
            </w:r>
            <w:r>
              <w:t>t</w:t>
            </w:r>
          </w:p>
        </w:tc>
        <w:tc>
          <w:tcPr>
            <w:tcW w:w="3372" w:type="dxa"/>
            <w:tcBorders>
              <w:top w:val="single" w:sz="4" w:space="0" w:color="auto"/>
              <w:left w:val="single" w:sz="4" w:space="0" w:color="auto"/>
              <w:bottom w:val="single" w:sz="4" w:space="0" w:color="auto"/>
              <w:right w:val="single" w:sz="4" w:space="0" w:color="auto"/>
            </w:tcBorders>
          </w:tcPr>
          <w:p w14:paraId="67E6197E" w14:textId="1886D204" w:rsidR="007470DB" w:rsidRPr="009A6DB8" w:rsidRDefault="009A6DB8" w:rsidP="009A6DB8">
            <w:pPr>
              <w:pStyle w:val="ListParagraph"/>
              <w:numPr>
                <w:ilvl w:val="0"/>
                <w:numId w:val="27"/>
              </w:numPr>
            </w:pPr>
            <w:r>
              <w:rPr>
                <w:sz w:val="20"/>
                <w:szCs w:val="20"/>
              </w:rPr>
              <w:t>Case Study:  Mankato Quarry Site</w:t>
            </w:r>
          </w:p>
        </w:tc>
        <w:tc>
          <w:tcPr>
            <w:tcW w:w="2473" w:type="dxa"/>
            <w:tcBorders>
              <w:top w:val="single" w:sz="4" w:space="0" w:color="auto"/>
              <w:left w:val="single" w:sz="4" w:space="0" w:color="auto"/>
              <w:bottom w:val="single" w:sz="4" w:space="0" w:color="auto"/>
              <w:right w:val="single" w:sz="4" w:space="0" w:color="auto"/>
            </w:tcBorders>
          </w:tcPr>
          <w:p w14:paraId="016CDDA7" w14:textId="073F3620" w:rsidR="009A6DB8" w:rsidRPr="009A6DB8" w:rsidRDefault="009A6DB8">
            <w:pPr>
              <w:rPr>
                <w:sz w:val="20"/>
                <w:szCs w:val="20"/>
              </w:rPr>
            </w:pPr>
            <w:r w:rsidRPr="009A6DB8">
              <w:rPr>
                <w:sz w:val="20"/>
                <w:szCs w:val="20"/>
              </w:rPr>
              <w:t>Impact Analysis of Quarry Site</w:t>
            </w:r>
          </w:p>
        </w:tc>
      </w:tr>
      <w:tr w:rsidR="006D6378" w14:paraId="2F43F85E" w14:textId="77777777" w:rsidTr="007470DB">
        <w:tc>
          <w:tcPr>
            <w:tcW w:w="1031" w:type="dxa"/>
            <w:tcBorders>
              <w:top w:val="single" w:sz="4" w:space="0" w:color="auto"/>
              <w:left w:val="single" w:sz="4" w:space="0" w:color="auto"/>
              <w:bottom w:val="single" w:sz="4" w:space="0" w:color="auto"/>
              <w:right w:val="single" w:sz="4" w:space="0" w:color="auto"/>
            </w:tcBorders>
          </w:tcPr>
          <w:p w14:paraId="74473A1E" w14:textId="77777777" w:rsidR="006D6378" w:rsidRDefault="007470DB">
            <w:r>
              <w:t>5/10</w:t>
            </w:r>
          </w:p>
        </w:tc>
        <w:tc>
          <w:tcPr>
            <w:tcW w:w="7599" w:type="dxa"/>
            <w:gridSpan w:val="3"/>
            <w:tcBorders>
              <w:top w:val="single" w:sz="4" w:space="0" w:color="auto"/>
              <w:left w:val="single" w:sz="4" w:space="0" w:color="auto"/>
              <w:bottom w:val="single" w:sz="4" w:space="0" w:color="auto"/>
              <w:right w:val="single" w:sz="4" w:space="0" w:color="auto"/>
            </w:tcBorders>
          </w:tcPr>
          <w:p w14:paraId="6B8D8569" w14:textId="5E62F9DF" w:rsidR="006D6378" w:rsidRDefault="00046002">
            <w:pPr>
              <w:rPr>
                <w:i/>
              </w:rPr>
            </w:pPr>
            <w:r>
              <w:rPr>
                <w:i/>
              </w:rPr>
              <w:t>Final exam date</w:t>
            </w:r>
            <w:r>
              <w:t>—</w:t>
            </w:r>
            <w:r w:rsidR="0086058B">
              <w:t xml:space="preserve">AICP Exam Review Questions &amp; </w:t>
            </w:r>
            <w:r>
              <w:t>course evaluation due</w:t>
            </w:r>
          </w:p>
        </w:tc>
      </w:tr>
      <w:bookmarkEnd w:id="0"/>
    </w:tbl>
    <w:p w14:paraId="317A9B92" w14:textId="77777777" w:rsidR="009B27B7" w:rsidRDefault="009B27B7" w:rsidP="009B27B7">
      <w:pPr>
        <w:pStyle w:val="NormalWeb"/>
        <w:spacing w:before="0" w:beforeAutospacing="0" w:after="0" w:afterAutospacing="0"/>
      </w:pPr>
    </w:p>
    <w:p w14:paraId="54D9B90D" w14:textId="77777777" w:rsidR="006D6378" w:rsidRPr="00330958" w:rsidRDefault="00046002" w:rsidP="006A0E5D">
      <w:pPr>
        <w:pStyle w:val="Heading2"/>
        <w:spacing w:before="0" w:beforeAutospacing="0" w:after="0" w:afterAutospacing="0"/>
        <w:rPr>
          <w:rFonts w:eastAsia="Times New Roman"/>
          <w:color w:val="800080"/>
          <w:kern w:val="36"/>
          <w:sz w:val="40"/>
          <w:szCs w:val="40"/>
        </w:rPr>
      </w:pPr>
      <w:r w:rsidRPr="00330958">
        <w:rPr>
          <w:rFonts w:eastAsia="Times New Roman"/>
          <w:color w:val="800080"/>
          <w:kern w:val="36"/>
          <w:sz w:val="40"/>
          <w:szCs w:val="40"/>
        </w:rPr>
        <w:t xml:space="preserve">Assignments: </w:t>
      </w:r>
    </w:p>
    <w:p w14:paraId="3F9D103F" w14:textId="77777777" w:rsidR="006D6378" w:rsidRPr="00330958" w:rsidRDefault="00046002" w:rsidP="008B44DB">
      <w:pPr>
        <w:pStyle w:val="Heading2"/>
        <w:spacing w:before="0" w:beforeAutospacing="0" w:after="0" w:afterAutospacing="0"/>
        <w:rPr>
          <w:rFonts w:eastAsia="Times New Roman"/>
          <w:color w:val="800080"/>
          <w:kern w:val="36"/>
          <w:sz w:val="28"/>
          <w:szCs w:val="28"/>
        </w:rPr>
      </w:pPr>
      <w:r w:rsidRPr="00330958">
        <w:rPr>
          <w:rFonts w:eastAsia="Times New Roman"/>
          <w:color w:val="800080"/>
          <w:kern w:val="36"/>
          <w:sz w:val="28"/>
          <w:szCs w:val="28"/>
        </w:rPr>
        <w:t>Classwork:</w:t>
      </w:r>
    </w:p>
    <w:p w14:paraId="078529A4" w14:textId="54DA1069" w:rsidR="006D6378" w:rsidRDefault="00046002" w:rsidP="008B44DB">
      <w:pPr>
        <w:pStyle w:val="NormalWeb"/>
        <w:spacing w:before="0" w:beforeAutospacing="0" w:after="0" w:afterAutospacing="0"/>
      </w:pPr>
      <w:r>
        <w:t xml:space="preserve">This is primarily a case-study and discussion class, although I may bring in an occasional guest or indulge in the occasional lecture. You are expected to do the reading assigned from the texts and be prepared to discuss them in class on the assigned date. Attendance at all class meetings is presumed. </w:t>
      </w:r>
    </w:p>
    <w:p w14:paraId="3192A961" w14:textId="77777777" w:rsidR="008B44DB" w:rsidRDefault="008B44DB" w:rsidP="008B44DB">
      <w:pPr>
        <w:pStyle w:val="Heading2"/>
        <w:spacing w:before="0" w:beforeAutospacing="0" w:after="0" w:afterAutospacing="0"/>
        <w:rPr>
          <w:rFonts w:eastAsia="Times New Roman"/>
          <w:color w:val="800080"/>
          <w:kern w:val="36"/>
          <w:sz w:val="28"/>
          <w:szCs w:val="28"/>
        </w:rPr>
      </w:pPr>
    </w:p>
    <w:p w14:paraId="1A9B2982" w14:textId="644476E9" w:rsidR="006D6378" w:rsidRPr="00330958" w:rsidRDefault="00046002" w:rsidP="008B44DB">
      <w:pPr>
        <w:pStyle w:val="Heading2"/>
        <w:spacing w:before="0" w:beforeAutospacing="0" w:after="0" w:afterAutospacing="0"/>
        <w:rPr>
          <w:rFonts w:eastAsia="Times New Roman"/>
          <w:color w:val="800080"/>
          <w:kern w:val="36"/>
          <w:sz w:val="28"/>
          <w:szCs w:val="28"/>
        </w:rPr>
      </w:pPr>
      <w:r w:rsidRPr="00330958">
        <w:rPr>
          <w:rFonts w:eastAsia="Times New Roman"/>
          <w:color w:val="800080"/>
          <w:kern w:val="36"/>
          <w:sz w:val="28"/>
          <w:szCs w:val="28"/>
        </w:rPr>
        <w:t xml:space="preserve">Written Assignments: </w:t>
      </w:r>
    </w:p>
    <w:p w14:paraId="4D942B28" w14:textId="4DA933A5" w:rsidR="006D6378" w:rsidRDefault="00FA77BA" w:rsidP="008B44DB">
      <w:pPr>
        <w:pStyle w:val="NormalWeb"/>
        <w:spacing w:before="0" w:beforeAutospacing="0" w:after="0" w:afterAutospacing="0"/>
      </w:pPr>
      <w:r>
        <w:t xml:space="preserve">You will </w:t>
      </w:r>
      <w:r w:rsidR="00702269">
        <w:t>have 1</w:t>
      </w:r>
      <w:r w:rsidR="006A0E5D">
        <w:t>3</w:t>
      </w:r>
      <w:r w:rsidR="00702269">
        <w:t xml:space="preserve"> (almost) weekly exercises which will be submitted for a grade.  In addition, there will be a final exam (based on AICP Exam study questions).  </w:t>
      </w:r>
    </w:p>
    <w:p w14:paraId="01B4CFD2" w14:textId="77777777" w:rsidR="006A0E5D" w:rsidRDefault="006A0E5D" w:rsidP="006A0E5D">
      <w:pPr>
        <w:pStyle w:val="Heading2"/>
        <w:spacing w:before="0" w:beforeAutospacing="0" w:after="0" w:afterAutospacing="0"/>
        <w:rPr>
          <w:rFonts w:eastAsia="Times New Roman"/>
          <w:color w:val="800080"/>
          <w:kern w:val="36"/>
        </w:rPr>
      </w:pPr>
    </w:p>
    <w:p w14:paraId="48486995" w14:textId="64C55759" w:rsidR="006D6378" w:rsidRPr="00330958" w:rsidRDefault="00046002" w:rsidP="006A0E5D">
      <w:pPr>
        <w:pStyle w:val="Heading2"/>
        <w:spacing w:before="0" w:beforeAutospacing="0" w:after="0" w:afterAutospacing="0"/>
        <w:rPr>
          <w:rFonts w:eastAsia="Times New Roman"/>
          <w:color w:val="800080"/>
          <w:kern w:val="36"/>
        </w:rPr>
      </w:pPr>
      <w:r w:rsidRPr="00330958">
        <w:rPr>
          <w:rFonts w:eastAsia="Times New Roman"/>
          <w:color w:val="800080"/>
          <w:kern w:val="36"/>
        </w:rPr>
        <w:t xml:space="preserve">Course Expectations: </w:t>
      </w:r>
    </w:p>
    <w:p w14:paraId="1D0760FB" w14:textId="77777777" w:rsidR="006D6378" w:rsidRPr="00330958" w:rsidRDefault="00046002" w:rsidP="008B44DB">
      <w:pPr>
        <w:pStyle w:val="Heading2"/>
        <w:spacing w:before="0" w:beforeAutospacing="0" w:after="0" w:afterAutospacing="0"/>
        <w:rPr>
          <w:rFonts w:eastAsia="Times New Roman"/>
          <w:color w:val="800080"/>
          <w:kern w:val="36"/>
          <w:sz w:val="28"/>
          <w:szCs w:val="28"/>
        </w:rPr>
      </w:pPr>
      <w:r w:rsidRPr="00330958">
        <w:rPr>
          <w:rFonts w:eastAsia="Times New Roman"/>
          <w:color w:val="800080"/>
          <w:kern w:val="36"/>
          <w:sz w:val="28"/>
          <w:szCs w:val="28"/>
        </w:rPr>
        <w:t>Attendance &amp; Class Participation:</w:t>
      </w:r>
    </w:p>
    <w:p w14:paraId="3F204D95" w14:textId="62777D31" w:rsidR="006D6378" w:rsidRDefault="00046002">
      <w:r>
        <w:t>Students play an important role in educating and challenging each other.  This can only happen if there is consistent attendance.  I expect you to attend.  I may take the class roll.  Unexcused absence (</w:t>
      </w:r>
      <w:r>
        <w:rPr>
          <w:i/>
        </w:rPr>
        <w:t>prior</w:t>
      </w:r>
      <w:r>
        <w:t xml:space="preserve"> notification is required—even if I am not available, my voice mail and e-mail always are) can result in loss of points toward one’s grade.  You are paying for this class—make sure to get your “money’s worth.”  Most importantly, this is an excellent foundation of knowledge for future activities, and it is a chance for you to learn, teach, and grow with others.</w:t>
      </w:r>
    </w:p>
    <w:p w14:paraId="1D0AB491" w14:textId="77777777" w:rsidR="009B27B7" w:rsidRDefault="009B27B7"/>
    <w:p w14:paraId="554D2325" w14:textId="77777777" w:rsidR="006D6378" w:rsidRPr="00AA268D" w:rsidRDefault="00046002" w:rsidP="009B27B7">
      <w:pPr>
        <w:pStyle w:val="Heading2"/>
        <w:spacing w:before="0" w:beforeAutospacing="0" w:after="0" w:afterAutospacing="0"/>
        <w:rPr>
          <w:rFonts w:eastAsia="Times New Roman"/>
          <w:color w:val="800080"/>
          <w:kern w:val="36"/>
          <w:sz w:val="28"/>
          <w:szCs w:val="28"/>
        </w:rPr>
      </w:pPr>
      <w:r w:rsidRPr="00330958">
        <w:rPr>
          <w:rFonts w:eastAsia="Times New Roman"/>
          <w:color w:val="800080"/>
          <w:kern w:val="36"/>
          <w:sz w:val="28"/>
          <w:szCs w:val="28"/>
        </w:rPr>
        <w:t>Grading:</w:t>
      </w:r>
    </w:p>
    <w:p w14:paraId="3AF6E548" w14:textId="2004543B" w:rsidR="00702269" w:rsidRDefault="00702269">
      <w:r>
        <w:t>The (almost) weekly exercises are worth 10 pts. apiece.  The exam is worth another 20 pts., for a total of 1</w:t>
      </w:r>
      <w:r w:rsidR="006A0E5D">
        <w:t>5</w:t>
      </w:r>
      <w:r>
        <w:t>0 pts. in the course.</w:t>
      </w:r>
      <w:r w:rsidR="004C08E8">
        <w:t xml:space="preserve">  Study questions for the exam are </w:t>
      </w:r>
      <w:r w:rsidR="004C08E8">
        <w:fldChar w:fldCharType="begin"/>
      </w:r>
      <w:r w:rsidR="004C08E8">
        <w:instrText xml:space="preserve"> HYPERLINK "Study%20Questions.docx" </w:instrText>
      </w:r>
      <w:r w:rsidR="004C08E8">
        <w:fldChar w:fldCharType="separate"/>
      </w:r>
      <w:r w:rsidR="004C08E8" w:rsidRPr="004C08E8">
        <w:rPr>
          <w:rStyle w:val="Hyperlink"/>
        </w:rPr>
        <w:t>here</w:t>
      </w:r>
      <w:r w:rsidR="004C08E8">
        <w:fldChar w:fldCharType="end"/>
      </w:r>
      <w:bookmarkStart w:id="1" w:name="_GoBack"/>
      <w:bookmarkEnd w:id="1"/>
      <w:r w:rsidR="004C08E8">
        <w:t>.</w:t>
      </w:r>
    </w:p>
    <w:p w14:paraId="60456A92" w14:textId="77777777" w:rsidR="00702269" w:rsidRDefault="00702269"/>
    <w:p w14:paraId="0B4A305D" w14:textId="2EC3F8B8" w:rsidR="006D6378" w:rsidRDefault="00046002">
      <w:r>
        <w:t xml:space="preserve">The final grade may be based on a curve, but students can expect at least an A if they achieve </w:t>
      </w:r>
      <w:r w:rsidR="00702269">
        <w:t>1</w:t>
      </w:r>
      <w:r w:rsidR="006A0E5D">
        <w:t>35</w:t>
      </w:r>
      <w:r>
        <w:t xml:space="preserve">, a B with </w:t>
      </w:r>
      <w:r w:rsidR="00702269">
        <w:t>1</w:t>
      </w:r>
      <w:r w:rsidR="006A0E5D">
        <w:t>20</w:t>
      </w:r>
      <w:r>
        <w:t>, etc.</w:t>
      </w:r>
      <w:r>
        <w:br/>
      </w:r>
    </w:p>
    <w:p w14:paraId="382E252B" w14:textId="77777777" w:rsidR="006D6378" w:rsidRPr="00330958" w:rsidRDefault="00046002" w:rsidP="009B27B7">
      <w:pPr>
        <w:pStyle w:val="Heading2"/>
        <w:spacing w:before="0" w:beforeAutospacing="0" w:after="0" w:afterAutospacing="0"/>
        <w:rPr>
          <w:rFonts w:eastAsia="Times New Roman"/>
          <w:color w:val="800080"/>
          <w:kern w:val="36"/>
          <w:sz w:val="28"/>
          <w:szCs w:val="28"/>
        </w:rPr>
      </w:pPr>
      <w:r w:rsidRPr="00330958">
        <w:rPr>
          <w:rFonts w:eastAsia="Times New Roman"/>
          <w:color w:val="800080"/>
          <w:kern w:val="36"/>
          <w:sz w:val="28"/>
          <w:szCs w:val="28"/>
        </w:rPr>
        <w:t>Other Matters:</w:t>
      </w:r>
    </w:p>
    <w:p w14:paraId="5D54C41A" w14:textId="77777777" w:rsidR="006D6378" w:rsidRDefault="00046002" w:rsidP="009B27B7">
      <w:pPr>
        <w:pStyle w:val="NormalWeb"/>
        <w:spacing w:before="0" w:beforeAutospacing="0" w:after="0" w:afterAutospacing="0"/>
      </w:pPr>
      <w:r>
        <w:rPr>
          <w:b/>
          <w:bCs/>
        </w:rPr>
        <w:t>Extra Credit</w:t>
      </w:r>
      <w:r>
        <w:t xml:space="preserve">: In general, I do not encourage extra credit in this class. I would rather that you put the extra effort into your regular assignments. </w:t>
      </w:r>
    </w:p>
    <w:p w14:paraId="17F3FF5A" w14:textId="77777777" w:rsidR="006D6378" w:rsidRDefault="00046002">
      <w:pPr>
        <w:pStyle w:val="NormalWeb"/>
      </w:pPr>
      <w:r>
        <w:t xml:space="preserve">All assignments are due </w:t>
      </w:r>
      <w:r>
        <w:rPr>
          <w:u w:val="single"/>
        </w:rPr>
        <w:t>on the assigned date</w:t>
      </w:r>
      <w:r>
        <w:t xml:space="preserve">.  Partial credit may be given for assignments that are less than one week late, unless other arrangements have been made </w:t>
      </w:r>
      <w:r>
        <w:rPr>
          <w:i/>
        </w:rPr>
        <w:t>in advance</w:t>
      </w:r>
      <w:r>
        <w:t>.</w:t>
      </w:r>
      <w:r>
        <w:br/>
      </w:r>
      <w:r>
        <w:br/>
        <w:t xml:space="preserve">Written reports are expected to be free of grammatical, spelling, and content errors.  They should be submitted in typewritten, standard formats (APA, URSI Style Sheets).  You must familiarize yourself with the University’s </w:t>
      </w:r>
      <w:hyperlink r:id="rId30" w:history="1">
        <w:r>
          <w:rPr>
            <w:rStyle w:val="Hyperlink"/>
          </w:rPr>
          <w:t>Academic Honesty Policy</w:t>
        </w:r>
      </w:hyperlink>
      <w:r>
        <w:t xml:space="preserve">.  I encourage you to draw on the ideas of others—but you must also identify when you do so (you </w:t>
      </w:r>
      <w:r>
        <w:rPr>
          <w:i/>
        </w:rPr>
        <w:t xml:space="preserve">gain </w:t>
      </w:r>
      <w:r>
        <w:t>“brownie points” for citing the work of others!).  Plagiarism is a serious breach of academic behavior and will result in an F for the course.</w:t>
      </w:r>
    </w:p>
    <w:p w14:paraId="0697D460" w14:textId="77777777" w:rsidR="006D6378" w:rsidRDefault="00046002">
      <w:pPr>
        <w:pStyle w:val="NormalWeb"/>
      </w:pPr>
      <w:r>
        <w:t>I will help you in whatever manner humanly possible.  However, once the semester is over, there is not a great deal I can do.  If there is something that you don’t understand, are having problems with, or need help on, please get in touch with me as early as possible.</w:t>
      </w:r>
    </w:p>
    <w:p w14:paraId="09BB0E97" w14:textId="77777777" w:rsidR="006D6378" w:rsidRDefault="00046002">
      <w:pPr>
        <w:pStyle w:val="NormalWeb"/>
      </w:pPr>
      <w:r>
        <w:t>Every attempt will be made to accommodate qualified students with disabilities.  If you are</w:t>
      </w:r>
      <w:r w:rsidR="00AA268D">
        <w:t xml:space="preserve"> </w:t>
      </w:r>
      <w:r>
        <w:t>a student with a documented disability, please contact us as early in the semester as possible to discuss the necessary accommodations, and/or contact the Disability Services Office at 507-389-2825 (V) or 1-800-627-3529 (MRS/TTY).</w:t>
      </w:r>
    </w:p>
    <w:p w14:paraId="314AF33E" w14:textId="6A2466B5" w:rsidR="006D6378" w:rsidRDefault="00046002" w:rsidP="00826DA1">
      <w:r>
        <w:t> </w:t>
      </w:r>
    </w:p>
    <w:tbl>
      <w:tblPr>
        <w:tblW w:w="1761" w:type="pct"/>
        <w:jc w:val="center"/>
        <w:tblCellSpacing w:w="15" w:type="dxa"/>
        <w:tblBorders>
          <w:top w:val="outset" w:sz="36" w:space="0" w:color="auto"/>
          <w:left w:val="outset" w:sz="36" w:space="0" w:color="auto"/>
          <w:bottom w:val="outset" w:sz="36" w:space="0" w:color="auto"/>
          <w:right w:val="outset" w:sz="36" w:space="0" w:color="auto"/>
        </w:tblBorders>
        <w:tblLook w:val="04A0" w:firstRow="1" w:lastRow="0" w:firstColumn="1" w:lastColumn="0" w:noHBand="0" w:noVBand="1"/>
      </w:tblPr>
      <w:tblGrid>
        <w:gridCol w:w="1305"/>
        <w:gridCol w:w="1290"/>
        <w:gridCol w:w="1023"/>
        <w:gridCol w:w="626"/>
      </w:tblGrid>
      <w:tr w:rsidR="00046002" w14:paraId="77B13C21" w14:textId="77777777" w:rsidTr="00046002">
        <w:trPr>
          <w:tblCellSpacing w:w="15" w:type="dxa"/>
          <w:jc w:val="center"/>
        </w:trPr>
        <w:tc>
          <w:tcPr>
            <w:tcW w:w="17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626A04" w14:textId="77777777" w:rsidR="00046002" w:rsidRDefault="00046002" w:rsidP="00EB29E4">
            <w:pPr>
              <w:jc w:val="center"/>
            </w:pPr>
            <w:r>
              <w:rPr>
                <w:noProof/>
                <w:color w:val="0000FF"/>
              </w:rPr>
              <w:drawing>
                <wp:inline distT="0" distB="0" distL="0" distR="0" wp14:anchorId="2A4C073B" wp14:editId="41BE330F">
                  <wp:extent cx="762000" cy="333375"/>
                  <wp:effectExtent l="0" t="0" r="0" b="9525"/>
                  <wp:docPr id="4" name="Picture 4" descr="Description: Description: Description: Description: Description: Description: Description: Description: Description: Description: Description: C:\Documents and Settings\tony\My Documents\COURSES\URBS 230\230syl_files\comment.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Description: Description: Description: Description: Description: Description: C:\Documents and Settings\tony\My Documents\COURSES\URBS 230\230syl_files\comment.jpg">
                            <a:hlinkClick r:id="rId7"/>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62000" cy="333375"/>
                          </a:xfrm>
                          <a:prstGeom prst="rect">
                            <a:avLst/>
                          </a:prstGeom>
                          <a:noFill/>
                          <a:ln>
                            <a:noFill/>
                          </a:ln>
                        </pic:spPr>
                      </pic:pic>
                    </a:graphicData>
                  </a:graphic>
                </wp:inline>
              </w:drawing>
            </w:r>
          </w:p>
        </w:tc>
        <w:tc>
          <w:tcPr>
            <w:tcW w:w="16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89E2CA" w14:textId="77777777" w:rsidR="00046002" w:rsidRDefault="00046002" w:rsidP="00EB29E4">
            <w:pPr>
              <w:jc w:val="center"/>
            </w:pPr>
            <w:r>
              <w:rPr>
                <w:noProof/>
                <w:color w:val="0000FF"/>
              </w:rPr>
              <w:drawing>
                <wp:inline distT="0" distB="0" distL="0" distR="0" wp14:anchorId="38B98B02" wp14:editId="4116AD49">
                  <wp:extent cx="762000" cy="333375"/>
                  <wp:effectExtent l="0" t="0" r="0" b="9525"/>
                  <wp:docPr id="5" name="Picture 5" descr="Description: Description: Description: Description: Description: Description: Description: Description: Description: Description: Description: C:\Documents and Settings\tony\My Documents\COURSES\URBS 230\230syl_files\syllabi.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Description: Description: Description: Description: C:\Documents and Settings\tony\My Documents\COURSES\URBS 230\230syl_files\syllabi.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2000" cy="333375"/>
                          </a:xfrm>
                          <a:prstGeom prst="rect">
                            <a:avLst/>
                          </a:prstGeom>
                          <a:noFill/>
                          <a:ln>
                            <a:noFill/>
                          </a:ln>
                        </pic:spPr>
                      </pic:pic>
                    </a:graphicData>
                  </a:graphic>
                </wp:inline>
              </w:drawing>
            </w:r>
          </w:p>
        </w:tc>
        <w:tc>
          <w:tcPr>
            <w:tcW w:w="19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CE0FDC" w14:textId="77777777" w:rsidR="00046002" w:rsidRDefault="00046002" w:rsidP="00EB29E4">
            <w:pPr>
              <w:jc w:val="center"/>
            </w:pPr>
            <w:r>
              <w:rPr>
                <w:noProof/>
              </w:rPr>
              <w:drawing>
                <wp:inline distT="0" distB="0" distL="0" distR="0" wp14:anchorId="1E029008" wp14:editId="635C3375">
                  <wp:extent cx="592733" cy="276225"/>
                  <wp:effectExtent l="0" t="0" r="0" b="0"/>
                  <wp:docPr id="10" name="Picture 10" descr="Description: Description: Description: Description: Description: Description: Description: Description: Description: Description: Description: URSI Logo">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URSI Logo"/>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2733" cy="276225"/>
                          </a:xfrm>
                          <a:prstGeom prst="rect">
                            <a:avLst/>
                          </a:prstGeom>
                          <a:noFill/>
                          <a:ln>
                            <a:noFill/>
                          </a:ln>
                        </pic:spPr>
                      </pic:pic>
                    </a:graphicData>
                  </a:graphic>
                </wp:inline>
              </w:drawing>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4358C5" w14:textId="77777777" w:rsidR="00046002" w:rsidRDefault="004C08E8" w:rsidP="00EB29E4">
            <w:pPr>
              <w:jc w:val="center"/>
            </w:pPr>
            <w:hyperlink r:id="rId36" w:history="1">
              <w:r w:rsidR="00046002">
                <w:rPr>
                  <w:rStyle w:val="Hyperlink"/>
                </w:rPr>
                <w:t>MSU</w:t>
              </w:r>
            </w:hyperlink>
          </w:p>
        </w:tc>
      </w:tr>
    </w:tbl>
    <w:p w14:paraId="655CB187" w14:textId="77777777" w:rsidR="00046002" w:rsidRDefault="00046002" w:rsidP="00046002">
      <w:pPr>
        <w:jc w:val="center"/>
      </w:pPr>
      <w:r>
        <w:rPr>
          <w:sz w:val="15"/>
          <w:szCs w:val="15"/>
        </w:rPr>
        <w:t xml:space="preserve">© 2006 </w:t>
      </w:r>
      <w:proofErr w:type="spellStart"/>
      <w:r>
        <w:rPr>
          <w:sz w:val="15"/>
          <w:szCs w:val="15"/>
        </w:rPr>
        <w:t>A.</w:t>
      </w:r>
      <w:proofErr w:type="gramStart"/>
      <w:r>
        <w:rPr>
          <w:sz w:val="15"/>
          <w:szCs w:val="15"/>
        </w:rPr>
        <w:t>J.Filipovitch</w:t>
      </w:r>
      <w:proofErr w:type="spellEnd"/>
      <w:proofErr w:type="gramEnd"/>
      <w:r>
        <w:rPr>
          <w:sz w:val="15"/>
          <w:szCs w:val="15"/>
        </w:rPr>
        <w:br/>
        <w:t xml:space="preserve">Revised </w:t>
      </w:r>
      <w:r w:rsidR="00AA268D">
        <w:rPr>
          <w:sz w:val="15"/>
          <w:szCs w:val="15"/>
        </w:rPr>
        <w:t>2 January</w:t>
      </w:r>
      <w:r>
        <w:rPr>
          <w:sz w:val="15"/>
          <w:szCs w:val="15"/>
        </w:rPr>
        <w:t xml:space="preserve"> 20</w:t>
      </w:r>
      <w:r w:rsidR="00AA268D">
        <w:rPr>
          <w:sz w:val="15"/>
          <w:szCs w:val="15"/>
        </w:rPr>
        <w:t>19</w:t>
      </w:r>
    </w:p>
    <w:p w14:paraId="3013657B" w14:textId="77777777" w:rsidR="006D6378" w:rsidRDefault="006D6378" w:rsidP="00046002"/>
    <w:sectPr w:rsidR="006D6378">
      <w:pgSz w:w="12240" w:h="15840"/>
      <w:pgMar w:top="1440" w:right="1800" w:bottom="1440" w:left="180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FBC"/>
    <w:multiLevelType w:val="hybridMultilevel"/>
    <w:tmpl w:val="71F2A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E73393"/>
    <w:multiLevelType w:val="hybridMultilevel"/>
    <w:tmpl w:val="2A742E46"/>
    <w:lvl w:ilvl="0" w:tplc="C6CC3AAA">
      <w:start w:val="1"/>
      <w:numFmt w:val="bullet"/>
      <w:lvlText w:val=""/>
      <w:lvlJc w:val="left"/>
      <w:pPr>
        <w:tabs>
          <w:tab w:val="num" w:pos="720"/>
        </w:tabs>
        <w:ind w:left="720" w:hanging="360"/>
      </w:pPr>
      <w:rPr>
        <w:rFonts w:ascii="Symbol" w:hAnsi="Symbol"/>
      </w:rPr>
    </w:lvl>
    <w:lvl w:ilvl="1" w:tplc="E0BC36E6">
      <w:start w:val="1"/>
      <w:numFmt w:val="decimal"/>
      <w:lvlText w:val="%2."/>
      <w:lvlJc w:val="left"/>
      <w:pPr>
        <w:tabs>
          <w:tab w:val="num" w:pos="1440"/>
        </w:tabs>
        <w:ind w:left="1440" w:hanging="360"/>
      </w:pPr>
    </w:lvl>
    <w:lvl w:ilvl="2" w:tplc="A0B27858">
      <w:start w:val="1"/>
      <w:numFmt w:val="decimal"/>
      <w:lvlText w:val="%3."/>
      <w:lvlJc w:val="left"/>
      <w:pPr>
        <w:tabs>
          <w:tab w:val="num" w:pos="2160"/>
        </w:tabs>
        <w:ind w:left="2160" w:hanging="360"/>
      </w:pPr>
    </w:lvl>
    <w:lvl w:ilvl="3" w:tplc="251AE340">
      <w:start w:val="1"/>
      <w:numFmt w:val="decimal"/>
      <w:lvlText w:val="%4."/>
      <w:lvlJc w:val="left"/>
      <w:pPr>
        <w:tabs>
          <w:tab w:val="num" w:pos="2880"/>
        </w:tabs>
        <w:ind w:left="2880" w:hanging="360"/>
      </w:pPr>
    </w:lvl>
    <w:lvl w:ilvl="4" w:tplc="AB2099EC">
      <w:start w:val="1"/>
      <w:numFmt w:val="decimal"/>
      <w:lvlText w:val="%5."/>
      <w:lvlJc w:val="left"/>
      <w:pPr>
        <w:tabs>
          <w:tab w:val="num" w:pos="3600"/>
        </w:tabs>
        <w:ind w:left="3600" w:hanging="360"/>
      </w:pPr>
    </w:lvl>
    <w:lvl w:ilvl="5" w:tplc="6F4AD2D0">
      <w:start w:val="1"/>
      <w:numFmt w:val="decimal"/>
      <w:lvlText w:val="%6."/>
      <w:lvlJc w:val="left"/>
      <w:pPr>
        <w:tabs>
          <w:tab w:val="num" w:pos="4320"/>
        </w:tabs>
        <w:ind w:left="4320" w:hanging="360"/>
      </w:pPr>
    </w:lvl>
    <w:lvl w:ilvl="6" w:tplc="FDA40E38">
      <w:start w:val="1"/>
      <w:numFmt w:val="decimal"/>
      <w:lvlText w:val="%7."/>
      <w:lvlJc w:val="left"/>
      <w:pPr>
        <w:tabs>
          <w:tab w:val="num" w:pos="5040"/>
        </w:tabs>
        <w:ind w:left="5040" w:hanging="360"/>
      </w:pPr>
    </w:lvl>
    <w:lvl w:ilvl="7" w:tplc="B506521E">
      <w:start w:val="1"/>
      <w:numFmt w:val="decimal"/>
      <w:lvlText w:val="%8."/>
      <w:lvlJc w:val="left"/>
      <w:pPr>
        <w:tabs>
          <w:tab w:val="num" w:pos="5760"/>
        </w:tabs>
        <w:ind w:left="5760" w:hanging="360"/>
      </w:pPr>
    </w:lvl>
    <w:lvl w:ilvl="8" w:tplc="A94A00BC">
      <w:start w:val="1"/>
      <w:numFmt w:val="decimal"/>
      <w:lvlText w:val="%9."/>
      <w:lvlJc w:val="left"/>
      <w:pPr>
        <w:tabs>
          <w:tab w:val="num" w:pos="6480"/>
        </w:tabs>
        <w:ind w:left="6480" w:hanging="360"/>
      </w:pPr>
    </w:lvl>
  </w:abstractNum>
  <w:abstractNum w:abstractNumId="2" w15:restartNumberingAfterBreak="0">
    <w:nsid w:val="06924B6C"/>
    <w:multiLevelType w:val="hybridMultilevel"/>
    <w:tmpl w:val="47060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922D1E"/>
    <w:multiLevelType w:val="hybridMultilevel"/>
    <w:tmpl w:val="87E01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DB5843"/>
    <w:multiLevelType w:val="hybridMultilevel"/>
    <w:tmpl w:val="A3F09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F52A98"/>
    <w:multiLevelType w:val="hybridMultilevel"/>
    <w:tmpl w:val="982A2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1E20ED"/>
    <w:multiLevelType w:val="hybridMultilevel"/>
    <w:tmpl w:val="9CE2F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412C33"/>
    <w:multiLevelType w:val="hybridMultilevel"/>
    <w:tmpl w:val="D83AA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81589B"/>
    <w:multiLevelType w:val="hybridMultilevel"/>
    <w:tmpl w:val="17A22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9436C1"/>
    <w:multiLevelType w:val="hybridMultilevel"/>
    <w:tmpl w:val="71CE6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440188"/>
    <w:multiLevelType w:val="hybridMultilevel"/>
    <w:tmpl w:val="E050F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AC4CB8"/>
    <w:multiLevelType w:val="hybridMultilevel"/>
    <w:tmpl w:val="9376B35C"/>
    <w:lvl w:ilvl="0" w:tplc="16F29314">
      <w:start w:val="1"/>
      <w:numFmt w:val="bullet"/>
      <w:lvlText w:val=""/>
      <w:lvlJc w:val="left"/>
      <w:pPr>
        <w:tabs>
          <w:tab w:val="num" w:pos="720"/>
        </w:tabs>
        <w:ind w:left="720" w:hanging="360"/>
      </w:pPr>
      <w:rPr>
        <w:rFonts w:ascii="Symbol" w:hAnsi="Symbol"/>
      </w:rPr>
    </w:lvl>
    <w:lvl w:ilvl="1" w:tplc="F9328D22">
      <w:start w:val="1"/>
      <w:numFmt w:val="decimal"/>
      <w:lvlText w:val="%2."/>
      <w:lvlJc w:val="left"/>
      <w:pPr>
        <w:tabs>
          <w:tab w:val="num" w:pos="1440"/>
        </w:tabs>
        <w:ind w:left="1440" w:hanging="360"/>
      </w:pPr>
    </w:lvl>
    <w:lvl w:ilvl="2" w:tplc="C7E2B6AE">
      <w:start w:val="1"/>
      <w:numFmt w:val="decimal"/>
      <w:lvlText w:val="%3."/>
      <w:lvlJc w:val="left"/>
      <w:pPr>
        <w:tabs>
          <w:tab w:val="num" w:pos="2160"/>
        </w:tabs>
        <w:ind w:left="2160" w:hanging="360"/>
      </w:pPr>
    </w:lvl>
    <w:lvl w:ilvl="3" w:tplc="A9689330">
      <w:start w:val="1"/>
      <w:numFmt w:val="decimal"/>
      <w:lvlText w:val="%4."/>
      <w:lvlJc w:val="left"/>
      <w:pPr>
        <w:tabs>
          <w:tab w:val="num" w:pos="2880"/>
        </w:tabs>
        <w:ind w:left="2880" w:hanging="360"/>
      </w:pPr>
    </w:lvl>
    <w:lvl w:ilvl="4" w:tplc="06A0604E">
      <w:start w:val="1"/>
      <w:numFmt w:val="decimal"/>
      <w:lvlText w:val="%5."/>
      <w:lvlJc w:val="left"/>
      <w:pPr>
        <w:tabs>
          <w:tab w:val="num" w:pos="3600"/>
        </w:tabs>
        <w:ind w:left="3600" w:hanging="360"/>
      </w:pPr>
    </w:lvl>
    <w:lvl w:ilvl="5" w:tplc="F7F86896">
      <w:start w:val="1"/>
      <w:numFmt w:val="decimal"/>
      <w:lvlText w:val="%6."/>
      <w:lvlJc w:val="left"/>
      <w:pPr>
        <w:tabs>
          <w:tab w:val="num" w:pos="4320"/>
        </w:tabs>
        <w:ind w:left="4320" w:hanging="360"/>
      </w:pPr>
    </w:lvl>
    <w:lvl w:ilvl="6" w:tplc="BDBEBF88">
      <w:start w:val="1"/>
      <w:numFmt w:val="decimal"/>
      <w:lvlText w:val="%7."/>
      <w:lvlJc w:val="left"/>
      <w:pPr>
        <w:tabs>
          <w:tab w:val="num" w:pos="5040"/>
        </w:tabs>
        <w:ind w:left="5040" w:hanging="360"/>
      </w:pPr>
    </w:lvl>
    <w:lvl w:ilvl="7" w:tplc="4762E90A">
      <w:start w:val="1"/>
      <w:numFmt w:val="decimal"/>
      <w:lvlText w:val="%8."/>
      <w:lvlJc w:val="left"/>
      <w:pPr>
        <w:tabs>
          <w:tab w:val="num" w:pos="5760"/>
        </w:tabs>
        <w:ind w:left="5760" w:hanging="360"/>
      </w:pPr>
    </w:lvl>
    <w:lvl w:ilvl="8" w:tplc="E4F05F64">
      <w:start w:val="1"/>
      <w:numFmt w:val="decimal"/>
      <w:lvlText w:val="%9."/>
      <w:lvlJc w:val="left"/>
      <w:pPr>
        <w:tabs>
          <w:tab w:val="num" w:pos="6480"/>
        </w:tabs>
        <w:ind w:left="6480" w:hanging="360"/>
      </w:pPr>
    </w:lvl>
  </w:abstractNum>
  <w:abstractNum w:abstractNumId="12" w15:restartNumberingAfterBreak="0">
    <w:nsid w:val="42893DF5"/>
    <w:multiLevelType w:val="hybridMultilevel"/>
    <w:tmpl w:val="2834C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D5286D"/>
    <w:multiLevelType w:val="hybridMultilevel"/>
    <w:tmpl w:val="43C8C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2F19D4"/>
    <w:multiLevelType w:val="hybridMultilevel"/>
    <w:tmpl w:val="03E24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90340B"/>
    <w:multiLevelType w:val="hybridMultilevel"/>
    <w:tmpl w:val="A0F68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1071AC"/>
    <w:multiLevelType w:val="hybridMultilevel"/>
    <w:tmpl w:val="0696182E"/>
    <w:lvl w:ilvl="0" w:tplc="F60CD84A">
      <w:start w:val="1"/>
      <w:numFmt w:val="decimal"/>
      <w:lvlText w:val="%1."/>
      <w:lvlJc w:val="left"/>
      <w:pPr>
        <w:tabs>
          <w:tab w:val="num" w:pos="720"/>
        </w:tabs>
        <w:ind w:left="720" w:hanging="360"/>
      </w:pPr>
    </w:lvl>
    <w:lvl w:ilvl="1" w:tplc="1B2E2BA2">
      <w:start w:val="1"/>
      <w:numFmt w:val="decimal"/>
      <w:lvlText w:val="%2."/>
      <w:lvlJc w:val="left"/>
      <w:pPr>
        <w:tabs>
          <w:tab w:val="num" w:pos="1440"/>
        </w:tabs>
        <w:ind w:left="1440" w:hanging="360"/>
      </w:pPr>
    </w:lvl>
    <w:lvl w:ilvl="2" w:tplc="2D4E4FB2">
      <w:start w:val="1"/>
      <w:numFmt w:val="decimal"/>
      <w:lvlText w:val="%3."/>
      <w:lvlJc w:val="left"/>
      <w:pPr>
        <w:tabs>
          <w:tab w:val="num" w:pos="2160"/>
        </w:tabs>
        <w:ind w:left="2160" w:hanging="360"/>
      </w:pPr>
    </w:lvl>
    <w:lvl w:ilvl="3" w:tplc="DD9A0254">
      <w:start w:val="1"/>
      <w:numFmt w:val="decimal"/>
      <w:lvlText w:val="%4."/>
      <w:lvlJc w:val="left"/>
      <w:pPr>
        <w:tabs>
          <w:tab w:val="num" w:pos="2880"/>
        </w:tabs>
        <w:ind w:left="2880" w:hanging="360"/>
      </w:pPr>
    </w:lvl>
    <w:lvl w:ilvl="4" w:tplc="A9B86730">
      <w:start w:val="1"/>
      <w:numFmt w:val="decimal"/>
      <w:lvlText w:val="%5."/>
      <w:lvlJc w:val="left"/>
      <w:pPr>
        <w:tabs>
          <w:tab w:val="num" w:pos="3600"/>
        </w:tabs>
        <w:ind w:left="3600" w:hanging="360"/>
      </w:pPr>
    </w:lvl>
    <w:lvl w:ilvl="5" w:tplc="19BE0282">
      <w:start w:val="1"/>
      <w:numFmt w:val="decimal"/>
      <w:lvlText w:val="%6."/>
      <w:lvlJc w:val="left"/>
      <w:pPr>
        <w:tabs>
          <w:tab w:val="num" w:pos="4320"/>
        </w:tabs>
        <w:ind w:left="4320" w:hanging="360"/>
      </w:pPr>
    </w:lvl>
    <w:lvl w:ilvl="6" w:tplc="9A5E7668">
      <w:start w:val="1"/>
      <w:numFmt w:val="decimal"/>
      <w:lvlText w:val="%7."/>
      <w:lvlJc w:val="left"/>
      <w:pPr>
        <w:tabs>
          <w:tab w:val="num" w:pos="5040"/>
        </w:tabs>
        <w:ind w:left="5040" w:hanging="360"/>
      </w:pPr>
    </w:lvl>
    <w:lvl w:ilvl="7" w:tplc="F71C93BC">
      <w:start w:val="1"/>
      <w:numFmt w:val="decimal"/>
      <w:lvlText w:val="%8."/>
      <w:lvlJc w:val="left"/>
      <w:pPr>
        <w:tabs>
          <w:tab w:val="num" w:pos="5760"/>
        </w:tabs>
        <w:ind w:left="5760" w:hanging="360"/>
      </w:pPr>
    </w:lvl>
    <w:lvl w:ilvl="8" w:tplc="1F42B1CC">
      <w:start w:val="1"/>
      <w:numFmt w:val="decimal"/>
      <w:lvlText w:val="%9."/>
      <w:lvlJc w:val="left"/>
      <w:pPr>
        <w:tabs>
          <w:tab w:val="num" w:pos="6480"/>
        </w:tabs>
        <w:ind w:left="6480" w:hanging="360"/>
      </w:pPr>
    </w:lvl>
  </w:abstractNum>
  <w:abstractNum w:abstractNumId="17" w15:restartNumberingAfterBreak="0">
    <w:nsid w:val="550D273F"/>
    <w:multiLevelType w:val="hybridMultilevel"/>
    <w:tmpl w:val="CD3AC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3635D5"/>
    <w:multiLevelType w:val="multilevel"/>
    <w:tmpl w:val="3D22A9CA"/>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5996DA3"/>
    <w:multiLevelType w:val="hybridMultilevel"/>
    <w:tmpl w:val="C310F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F41E46"/>
    <w:multiLevelType w:val="hybridMultilevel"/>
    <w:tmpl w:val="512A2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3A48B2"/>
    <w:multiLevelType w:val="multilevel"/>
    <w:tmpl w:val="ADC62E0C"/>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2" w15:restartNumberingAfterBreak="0">
    <w:nsid w:val="75C14002"/>
    <w:multiLevelType w:val="hybridMultilevel"/>
    <w:tmpl w:val="83328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8"/>
  </w:num>
  <w:num w:numId="3">
    <w:abstractNumId w:val="18"/>
  </w:num>
  <w:num w:numId="4">
    <w:abstractNumId w:val="16"/>
  </w:num>
  <w:num w:numId="5">
    <w:abstractNumId w:val="16"/>
  </w:num>
  <w:num w:numId="6">
    <w:abstractNumId w:val="1"/>
  </w:num>
  <w:num w:numId="7">
    <w:abstractNumId w:val="1"/>
  </w:num>
  <w:num w:numId="8">
    <w:abstractNumId w:val="11"/>
  </w:num>
  <w:num w:numId="9">
    <w:abstractNumId w:val="11"/>
  </w:num>
  <w:num w:numId="10">
    <w:abstractNumId w:val="0"/>
  </w:num>
  <w:num w:numId="11">
    <w:abstractNumId w:val="4"/>
  </w:num>
  <w:num w:numId="12">
    <w:abstractNumId w:val="22"/>
  </w:num>
  <w:num w:numId="13">
    <w:abstractNumId w:val="2"/>
  </w:num>
  <w:num w:numId="14">
    <w:abstractNumId w:val="20"/>
  </w:num>
  <w:num w:numId="15">
    <w:abstractNumId w:val="15"/>
  </w:num>
  <w:num w:numId="16">
    <w:abstractNumId w:val="9"/>
  </w:num>
  <w:num w:numId="17">
    <w:abstractNumId w:val="5"/>
  </w:num>
  <w:num w:numId="18">
    <w:abstractNumId w:val="3"/>
  </w:num>
  <w:num w:numId="19">
    <w:abstractNumId w:val="19"/>
  </w:num>
  <w:num w:numId="20">
    <w:abstractNumId w:val="6"/>
  </w:num>
  <w:num w:numId="21">
    <w:abstractNumId w:val="17"/>
  </w:num>
  <w:num w:numId="22">
    <w:abstractNumId w:val="14"/>
  </w:num>
  <w:num w:numId="23">
    <w:abstractNumId w:val="8"/>
  </w:num>
  <w:num w:numId="24">
    <w:abstractNumId w:val="13"/>
  </w:num>
  <w:num w:numId="25">
    <w:abstractNumId w:val="10"/>
  </w:num>
  <w:num w:numId="26">
    <w:abstractNumId w:val="1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075"/>
    <w:rsid w:val="0000729C"/>
    <w:rsid w:val="00046002"/>
    <w:rsid w:val="00052E47"/>
    <w:rsid w:val="00064D3B"/>
    <w:rsid w:val="000F6A6B"/>
    <w:rsid w:val="00113D9C"/>
    <w:rsid w:val="00153E9A"/>
    <w:rsid w:val="00182588"/>
    <w:rsid w:val="00196815"/>
    <w:rsid w:val="001B1284"/>
    <w:rsid w:val="001D744A"/>
    <w:rsid w:val="001F16AD"/>
    <w:rsid w:val="00330958"/>
    <w:rsid w:val="00356C49"/>
    <w:rsid w:val="003B03C0"/>
    <w:rsid w:val="003B50B1"/>
    <w:rsid w:val="004250FC"/>
    <w:rsid w:val="00445B2E"/>
    <w:rsid w:val="004A654C"/>
    <w:rsid w:val="004C08E8"/>
    <w:rsid w:val="006A0E5D"/>
    <w:rsid w:val="006A14A3"/>
    <w:rsid w:val="006D6378"/>
    <w:rsid w:val="00702269"/>
    <w:rsid w:val="007470DB"/>
    <w:rsid w:val="00786B26"/>
    <w:rsid w:val="007D4536"/>
    <w:rsid w:val="007E3E72"/>
    <w:rsid w:val="00810DC5"/>
    <w:rsid w:val="00826DA1"/>
    <w:rsid w:val="00836075"/>
    <w:rsid w:val="008419DF"/>
    <w:rsid w:val="00845489"/>
    <w:rsid w:val="008560F9"/>
    <w:rsid w:val="0086058B"/>
    <w:rsid w:val="008870AF"/>
    <w:rsid w:val="008B44DB"/>
    <w:rsid w:val="00911004"/>
    <w:rsid w:val="00912835"/>
    <w:rsid w:val="009A6DB8"/>
    <w:rsid w:val="009B27B7"/>
    <w:rsid w:val="009F58C0"/>
    <w:rsid w:val="00A14D7F"/>
    <w:rsid w:val="00AA268D"/>
    <w:rsid w:val="00AC5E8C"/>
    <w:rsid w:val="00B572B9"/>
    <w:rsid w:val="00BD7B67"/>
    <w:rsid w:val="00CD416D"/>
    <w:rsid w:val="00D267C5"/>
    <w:rsid w:val="00DD7EFE"/>
    <w:rsid w:val="00DE58D9"/>
    <w:rsid w:val="00E12077"/>
    <w:rsid w:val="00ED3AEB"/>
    <w:rsid w:val="00F43CD6"/>
    <w:rsid w:val="00FA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4FC63"/>
  <w15:docId w15:val="{CD8D3A76-2C53-4540-98BD-21A83855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pPr>
      <w:spacing w:before="100" w:beforeAutospacing="1" w:after="100" w:afterAutospacing="1"/>
      <w:outlineLvl w:val="0"/>
    </w:pPr>
    <w:rPr>
      <w:rFonts w:eastAsiaTheme="minorEastAsia"/>
      <w:b/>
      <w:bCs/>
      <w:kern w:val="36"/>
      <w:sz w:val="48"/>
      <w:szCs w:val="48"/>
    </w:rPr>
  </w:style>
  <w:style w:type="paragraph" w:styleId="Heading2">
    <w:name w:val="heading 2"/>
    <w:basedOn w:val="Normal"/>
    <w:link w:val="Heading2Char"/>
    <w:qFormat/>
    <w:pPr>
      <w:spacing w:before="100" w:beforeAutospacing="1" w:after="100" w:afterAutospacing="1"/>
      <w:outlineLvl w:val="1"/>
    </w:pPr>
    <w:rPr>
      <w:rFonts w:eastAsiaTheme="minorEastAsia"/>
      <w:b/>
      <w:bCs/>
      <w:sz w:val="36"/>
      <w:szCs w:val="36"/>
    </w:rPr>
  </w:style>
  <w:style w:type="paragraph" w:styleId="Heading3">
    <w:name w:val="heading 3"/>
    <w:basedOn w:val="Normal"/>
    <w:link w:val="Heading3Char"/>
    <w:qFormat/>
    <w:pPr>
      <w:spacing w:before="100" w:beforeAutospacing="1" w:after="100" w:afterAutospacing="1"/>
      <w:outlineLvl w:val="2"/>
    </w:pPr>
    <w:rPr>
      <w:rFonts w:eastAsiaTheme="minorEastAsia"/>
      <w:b/>
      <w:bCs/>
      <w:sz w:val="27"/>
      <w:szCs w:val="27"/>
    </w:rPr>
  </w:style>
  <w:style w:type="paragraph" w:styleId="Heading4">
    <w:name w:val="heading 4"/>
    <w:basedOn w:val="Normal"/>
    <w:next w:val="Normal"/>
    <w:link w:val="Heading4Char"/>
    <w:qFormat/>
    <w:pPr>
      <w:keepNext/>
      <w:outlineLvl w:val="3"/>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 w:val="24"/>
      <w:szCs w:val="24"/>
    </w:rPr>
  </w:style>
  <w:style w:type="character" w:customStyle="1" w:styleId="NormalWebChar">
    <w:name w:val="Normal (Web) Char"/>
    <w:basedOn w:val="DefaultParagraphFont"/>
    <w:link w:val="NormalWeb"/>
    <w:locked/>
    <w:rPr>
      <w:sz w:val="24"/>
      <w:szCs w:val="24"/>
      <w:lang w:val="en-US" w:eastAsia="en-US" w:bidi="ar-SA"/>
    </w:rPr>
  </w:style>
  <w:style w:type="paragraph" w:styleId="NormalWeb">
    <w:name w:val="Normal (Web)"/>
    <w:basedOn w:val="Normal"/>
    <w:link w:val="NormalWebChar"/>
    <w:pPr>
      <w:spacing w:before="100" w:beforeAutospacing="1" w:after="100" w:afterAutospacing="1"/>
    </w:pPr>
  </w:style>
  <w:style w:type="character" w:customStyle="1" w:styleId="italic1">
    <w:name w:val="italic1"/>
    <w:basedOn w:val="DefaultParagraphFont"/>
    <w:rPr>
      <w:i/>
      <w:iCs/>
    </w:rPr>
  </w:style>
  <w:style w:type="character" w:customStyle="1" w:styleId="bold1">
    <w:name w:val="bold1"/>
    <w:basedOn w:val="DefaultParagraphFon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36075"/>
    <w:rPr>
      <w:rFonts w:ascii="Tahoma" w:hAnsi="Tahoma" w:cs="Tahoma"/>
      <w:sz w:val="16"/>
      <w:szCs w:val="16"/>
    </w:rPr>
  </w:style>
  <w:style w:type="character" w:customStyle="1" w:styleId="BalloonTextChar">
    <w:name w:val="Balloon Text Char"/>
    <w:basedOn w:val="DefaultParagraphFont"/>
    <w:link w:val="BalloonText"/>
    <w:rsid w:val="00836075"/>
    <w:rPr>
      <w:rFonts w:ascii="Tahoma" w:hAnsi="Tahoma" w:cs="Tahoma"/>
      <w:sz w:val="16"/>
      <w:szCs w:val="16"/>
    </w:rPr>
  </w:style>
  <w:style w:type="character" w:styleId="UnresolvedMention">
    <w:name w:val="Unresolved Mention"/>
    <w:basedOn w:val="DefaultParagraphFont"/>
    <w:uiPriority w:val="99"/>
    <w:semiHidden/>
    <w:unhideWhenUsed/>
    <w:rsid w:val="0086058B"/>
    <w:rPr>
      <w:color w:val="605E5C"/>
      <w:shd w:val="clear" w:color="auto" w:fill="E1DFDD"/>
    </w:rPr>
  </w:style>
  <w:style w:type="paragraph" w:styleId="ListParagraph">
    <w:name w:val="List Paragraph"/>
    <w:basedOn w:val="Normal"/>
    <w:uiPriority w:val="34"/>
    <w:qFormat/>
    <w:rsid w:val="003B5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planning.org/greatplaces/" TargetMode="External"/><Relationship Id="rId18" Type="http://schemas.openxmlformats.org/officeDocument/2006/relationships/hyperlink" Target="https://www.revisor.mn.gov/statutes/2018/cite/462?keyword_type=all&amp;keyword_sg=statute&amp;keyword=zoning" TargetMode="External"/><Relationship Id="rId26" Type="http://schemas.openxmlformats.org/officeDocument/2006/relationships/hyperlink" Target="https://library.municode.com/mn/mankato/codes/code_of_ordinances?nodeId=CH11SUDEREPL" TargetMode="External"/><Relationship Id="rId3" Type="http://schemas.openxmlformats.org/officeDocument/2006/relationships/styles" Target="styles.xml"/><Relationship Id="rId21" Type="http://schemas.openxmlformats.org/officeDocument/2006/relationships/hyperlink" Target="https://www.blm.gov/sites/blm.gov/files/uploads/IB2013-057_att1.pdf" TargetMode="External"/><Relationship Id="rId34" Type="http://schemas.openxmlformats.org/officeDocument/2006/relationships/hyperlink" Target="http://sbs.mnsu.edu/ursi/" TargetMode="External"/><Relationship Id="rId7" Type="http://schemas.openxmlformats.org/officeDocument/2006/relationships/hyperlink" Target="mailto:tony@mnsu.edu" TargetMode="External"/><Relationship Id="rId12" Type="http://schemas.openxmlformats.org/officeDocument/2006/relationships/hyperlink" Target="https://www.pps.org/category/placemaking" TargetMode="External"/><Relationship Id="rId17" Type="http://schemas.openxmlformats.org/officeDocument/2006/relationships/hyperlink" Target="https://www.revisor.mn.gov/statutes/cite/394" TargetMode="External"/><Relationship Id="rId25" Type="http://schemas.openxmlformats.org/officeDocument/2006/relationships/hyperlink" Target="https://www.lmc.org/media/document/1/comprehensiveplanninglanduseandcityownedland.pdf?inline=true" TargetMode="External"/><Relationship Id="rId33" Type="http://schemas.openxmlformats.org/officeDocument/2006/relationships/image" Target="media/image4.jp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mc.org/media/document/1/meetingsmotionsresolutionsandordinances.pdf?inline=true" TargetMode="External"/><Relationship Id="rId20" Type="http://schemas.openxmlformats.org/officeDocument/2006/relationships/hyperlink" Target="http://vpic.info/Publications/Reports/DevelopmentReviewModules/ReadingSubdivision.pdf" TargetMode="External"/><Relationship Id="rId29" Type="http://schemas.openxmlformats.org/officeDocument/2006/relationships/hyperlink" Target="https://www.lmc.org/media/document/1/communitydevelopmentandredevelopment.pdf?inline=tru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uwsp.edu/cnr-ap/clue/Documents/PlanImplementation/Traditional_Neighborhood_Design.pdf" TargetMode="External"/><Relationship Id="rId24" Type="http://schemas.openxmlformats.org/officeDocument/2006/relationships/hyperlink" Target="https://content.mankatomn.gov/files/9293-Final-AUAR-and-Mitigation-Plan.pdf" TargetMode="External"/><Relationship Id="rId32" Type="http://schemas.openxmlformats.org/officeDocument/2006/relationships/hyperlink" Target="http://krypton.mnsu.edu/~tony/webpage/courses.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rypton.mnsu.edu/~jp5985fj/courses/602/power.html" TargetMode="External"/><Relationship Id="rId23" Type="http://schemas.openxmlformats.org/officeDocument/2006/relationships/hyperlink" Target="https://www.lmc.org/media/document/1/environmentalregulations.pdf?inline=true" TargetMode="External"/><Relationship Id="rId28" Type="http://schemas.openxmlformats.org/officeDocument/2006/relationships/hyperlink" Target="https://library.municode.com/mn/mankato/codes/code_of_ordinances?nodeId=CH10LAUSZO" TargetMode="External"/><Relationship Id="rId36" Type="http://schemas.openxmlformats.org/officeDocument/2006/relationships/hyperlink" Target="http://www.mnsu.edu/" TargetMode="External"/><Relationship Id="rId10" Type="http://schemas.openxmlformats.org/officeDocument/2006/relationships/hyperlink" Target="https://mnsu.ims.mnscu.edu/" TargetMode="External"/><Relationship Id="rId19" Type="http://schemas.openxmlformats.org/officeDocument/2006/relationships/hyperlink" Target="https://legalbeagle.com/5707821-read-land-property-description.html" TargetMode="External"/><Relationship Id="rId31"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krypton.mnsu.edu/~jp5985fj/courses/602/questions.html" TargetMode="External"/><Relationship Id="rId14" Type="http://schemas.openxmlformats.org/officeDocument/2006/relationships/hyperlink" Target="https://www.cnu.org/who-we-are/charter-new-urbanism" TargetMode="External"/><Relationship Id="rId22" Type="http://schemas.openxmlformats.org/officeDocument/2006/relationships/hyperlink" Target="https://nationalmap.gov/small_scale/a_plss.html" TargetMode="External"/><Relationship Id="rId27" Type="http://schemas.openxmlformats.org/officeDocument/2006/relationships/hyperlink" Target="https://www.nrdc.org/sites/default/files/citizens_guide_LEED-ND.pdf" TargetMode="External"/><Relationship Id="rId30" Type="http://schemas.openxmlformats.org/officeDocument/2006/relationships/hyperlink" Target="http://www.mnsu.edu/students/basicstuff/policies.html" TargetMode="External"/><Relationship Id="rId3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4A333-89CB-4C90-BA67-ECB744FD5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1635</Words>
  <Characters>10583</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URBS 661 Syllabus</vt:lpstr>
      <vt:lpstr>/  URBS 662—Planning the Built Environment</vt:lpstr>
      <vt:lpstr/>
      <vt:lpstr>/</vt:lpstr>
      <vt:lpstr>    Course Objectives: </vt:lpstr>
      <vt:lpstr>    Instructional Methodology and Teaching Strategies: </vt:lpstr>
      <vt:lpstr>    Text: </vt:lpstr>
      <vt:lpstr>    </vt:lpstr>
      <vt:lpstr>    Course Calendar</vt:lpstr>
      <vt:lpstr>    </vt:lpstr>
      <vt:lpstr>    Assignments: </vt:lpstr>
      <vt:lpstr>    Classwork:</vt:lpstr>
      <vt:lpstr>    </vt:lpstr>
      <vt:lpstr>    Written Assignments: </vt:lpstr>
      <vt:lpstr>    </vt:lpstr>
      <vt:lpstr>    Course Expectations: </vt:lpstr>
      <vt:lpstr>    Attendance &amp; Class Participation:</vt:lpstr>
      <vt:lpstr>    Grading:</vt:lpstr>
      <vt:lpstr>    Other Matters:</vt:lpstr>
    </vt:vector>
  </TitlesOfParts>
  <Company>MSU, M</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URBS 661 Syllabus</dc:title>
  <dc:creator>anthonyf</dc:creator>
  <cp:lastModifiedBy>Filipovitch, Tony</cp:lastModifiedBy>
  <cp:revision>4</cp:revision>
  <cp:lastPrinted>2005-04-30T23:44:00Z</cp:lastPrinted>
  <dcterms:created xsi:type="dcterms:W3CDTF">2018-12-29T16:00:00Z</dcterms:created>
  <dcterms:modified xsi:type="dcterms:W3CDTF">2019-03-18T14:04:00Z</dcterms:modified>
</cp:coreProperties>
</file>