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390C" w:rsidRDefault="00C80B0D">
      <w:pPr>
        <w:pStyle w:val="Heading1"/>
        <w:rPr>
          <w:rFonts w:eastAsia="Times New Roman"/>
          <w:color w:val="FF0000"/>
        </w:rPr>
      </w:pPr>
      <w:r>
        <w:rPr>
          <w:rFonts w:eastAsia="Times New Roman"/>
          <w:noProof/>
        </w:rPr>
        <w:drawing>
          <wp:inline distT="0" distB="0" distL="0" distR="0">
            <wp:extent cx="981075" cy="457200"/>
            <wp:effectExtent l="0" t="0" r="9525" b="0"/>
            <wp:docPr id="1" name="Picture 1" descr="Description: Description: Description: Description: Description: Description: Description: Description: Description: Description: Description: U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URS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r>
        <w:rPr>
          <w:rFonts w:eastAsia="Times New Roman"/>
        </w:rPr>
        <w:t xml:space="preserve">  </w:t>
      </w:r>
      <w:r>
        <w:rPr>
          <w:rFonts w:eastAsia="Times New Roman"/>
          <w:color w:val="800080"/>
        </w:rPr>
        <w:t>URBS 6</w:t>
      </w:r>
      <w:r w:rsidR="00905B6D">
        <w:rPr>
          <w:rFonts w:eastAsia="Times New Roman"/>
          <w:color w:val="800080"/>
        </w:rPr>
        <w:t>51</w:t>
      </w:r>
      <w:r>
        <w:rPr>
          <w:rFonts w:eastAsia="Times New Roman"/>
          <w:color w:val="800080"/>
        </w:rPr>
        <w:t>—</w:t>
      </w:r>
      <w:r w:rsidR="00905B6D">
        <w:rPr>
          <w:rFonts w:eastAsia="Times New Roman"/>
          <w:color w:val="800080"/>
        </w:rPr>
        <w:t>Urban Finance Systems</w:t>
      </w:r>
    </w:p>
    <w:p w:rsidR="0008390C" w:rsidRDefault="00CA1F2D">
      <w:pPr>
        <w:jc w:val="center"/>
      </w:pPr>
      <w:r>
        <w:pict>
          <v:rect id="_x0000_i1025" style="width:468pt;height:1.5pt" o:hralign="center" o:hrstd="t" o:hr="t" fillcolor="#a0a0a0" stroked="f"/>
        </w:pict>
      </w:r>
    </w:p>
    <w:p w:rsidR="0008390C" w:rsidRDefault="00C80B0D">
      <w:pPr>
        <w:pStyle w:val="NormalWeb"/>
        <w:rPr>
          <w:bCs/>
        </w:rPr>
      </w:pPr>
      <w:r>
        <w:rPr>
          <w:b/>
          <w:bCs/>
        </w:rPr>
        <w:t xml:space="preserve">Term:  </w:t>
      </w:r>
      <w:r w:rsidR="00905B6D">
        <w:rPr>
          <w:bCs/>
        </w:rPr>
        <w:t>Spring</w:t>
      </w:r>
      <w:r w:rsidR="00876AD3">
        <w:rPr>
          <w:bCs/>
        </w:rPr>
        <w:t>, 2014</w:t>
      </w:r>
    </w:p>
    <w:p w:rsidR="0008390C" w:rsidRDefault="00C80B0D">
      <w:pPr>
        <w:pStyle w:val="NormalWeb"/>
      </w:pPr>
      <w:r>
        <w:rPr>
          <w:b/>
          <w:bCs/>
        </w:rPr>
        <w:t>Instructor</w:t>
      </w:r>
      <w:r>
        <w:t xml:space="preserve">: </w:t>
      </w:r>
      <w:hyperlink r:id="rId8" w:history="1">
        <w:r>
          <w:rPr>
            <w:rStyle w:val="Hyperlink"/>
          </w:rPr>
          <w:t>Tony Filipovitch</w:t>
        </w:r>
      </w:hyperlink>
      <w:r>
        <w:t xml:space="preserve">, 126 Morris Hall, 507-389-5035, 507-388-2264 (home) </w:t>
      </w:r>
    </w:p>
    <w:p w:rsidR="0008390C" w:rsidRDefault="00C80B0D">
      <w:pPr>
        <w:pStyle w:val="NormalWeb"/>
      </w:pPr>
      <w:r>
        <w:rPr>
          <w:b/>
          <w:bCs/>
        </w:rPr>
        <w:t>Office Hours</w:t>
      </w:r>
      <w:r>
        <w:t xml:space="preserve">:  My office hours are posted </w:t>
      </w:r>
      <w:hyperlink r:id="rId9" w:history="1">
        <w:r>
          <w:rPr>
            <w:rStyle w:val="Hyperlink"/>
          </w:rPr>
          <w:t>here</w:t>
        </w:r>
      </w:hyperlink>
      <w:r>
        <w:t xml:space="preserve">.  I am available in my office at those times (or other times by appointment).  I also check my e-mail daily (usually several times during the day), and have an answering machine on both my home and office phone.  </w:t>
      </w:r>
    </w:p>
    <w:p w:rsidR="0008390C" w:rsidRDefault="00C80B0D">
      <w:pPr>
        <w:pStyle w:val="NormalWeb"/>
      </w:pPr>
      <w:r>
        <w:t>There is no reason to flounder around, unsure of what “he wants” or confused about what you are doing; and even if everything is going fine with the coursework, there is more to learning than completing the assignments.  I encourage you to visit me, in person or at a distance by phone or e-mail, many times during the course.</w:t>
      </w:r>
    </w:p>
    <w:p w:rsidR="0008390C" w:rsidRDefault="00C80B0D">
      <w:pPr>
        <w:pStyle w:val="Heading2"/>
        <w:rPr>
          <w:rFonts w:eastAsia="Times New Roman"/>
          <w:color w:val="800080"/>
        </w:rPr>
      </w:pPr>
      <w:r>
        <w:rPr>
          <w:rFonts w:eastAsia="Times New Roman"/>
          <w:color w:val="800080"/>
        </w:rPr>
        <w:t xml:space="preserve">Text: </w:t>
      </w:r>
    </w:p>
    <w:p w:rsidR="00905B6D" w:rsidRDefault="00905B6D" w:rsidP="00905B6D">
      <w:pPr>
        <w:pStyle w:val="Heading3"/>
        <w:spacing w:before="0" w:beforeAutospacing="0" w:after="120" w:afterAutospacing="0"/>
        <w:rPr>
          <w:rFonts w:eastAsia="Times New Roman"/>
          <w:b w:val="0"/>
          <w:bCs w:val="0"/>
          <w:sz w:val="24"/>
          <w:szCs w:val="24"/>
        </w:rPr>
      </w:pPr>
      <w:r w:rsidRPr="00905B6D">
        <w:rPr>
          <w:rFonts w:eastAsia="Times New Roman"/>
          <w:b w:val="0"/>
          <w:bCs w:val="0"/>
          <w:sz w:val="24"/>
          <w:szCs w:val="24"/>
        </w:rPr>
        <w:t>Robert L. Bland</w:t>
      </w:r>
      <w:proofErr w:type="gramStart"/>
      <w:r>
        <w:rPr>
          <w:rFonts w:eastAsia="Times New Roman"/>
          <w:b w:val="0"/>
          <w:bCs w:val="0"/>
          <w:sz w:val="24"/>
          <w:szCs w:val="24"/>
        </w:rPr>
        <w:t xml:space="preserve">, </w:t>
      </w:r>
      <w:r w:rsidRPr="00905B6D">
        <w:rPr>
          <w:rFonts w:eastAsia="Times New Roman"/>
          <w:b w:val="0"/>
          <w:bCs w:val="0"/>
          <w:sz w:val="24"/>
          <w:szCs w:val="24"/>
        </w:rPr>
        <w:t xml:space="preserve"> </w:t>
      </w:r>
      <w:r w:rsidRPr="00905B6D">
        <w:rPr>
          <w:rFonts w:eastAsia="Times New Roman"/>
          <w:b w:val="0"/>
          <w:bCs w:val="0"/>
          <w:i/>
          <w:sz w:val="24"/>
          <w:szCs w:val="24"/>
        </w:rPr>
        <w:t>A</w:t>
      </w:r>
      <w:proofErr w:type="gramEnd"/>
      <w:r w:rsidRPr="00905B6D">
        <w:rPr>
          <w:rFonts w:eastAsia="Times New Roman"/>
          <w:b w:val="0"/>
          <w:bCs w:val="0"/>
          <w:i/>
          <w:sz w:val="24"/>
          <w:szCs w:val="24"/>
        </w:rPr>
        <w:t xml:space="preserve"> Budgeting Guide for Local Government, 3rd Edition</w:t>
      </w:r>
      <w:r w:rsidRPr="00905B6D">
        <w:rPr>
          <w:rFonts w:eastAsia="Times New Roman"/>
          <w:b w:val="0"/>
          <w:bCs w:val="0"/>
          <w:sz w:val="24"/>
          <w:szCs w:val="24"/>
        </w:rPr>
        <w:t xml:space="preserve"> </w:t>
      </w:r>
      <w:r>
        <w:rPr>
          <w:rFonts w:eastAsia="Times New Roman"/>
          <w:b w:val="0"/>
          <w:bCs w:val="0"/>
          <w:sz w:val="24"/>
          <w:szCs w:val="24"/>
        </w:rPr>
        <w:t>(ICMA, 2013)</w:t>
      </w:r>
      <w:r w:rsidR="002057E0">
        <w:rPr>
          <w:rFonts w:eastAsia="Times New Roman"/>
          <w:b w:val="0"/>
          <w:bCs w:val="0"/>
          <w:sz w:val="24"/>
          <w:szCs w:val="24"/>
        </w:rPr>
        <w:t xml:space="preserve">  ($72.00 from ICMA/$53 member price</w:t>
      </w:r>
      <w:r w:rsidR="00470E1F">
        <w:rPr>
          <w:rFonts w:eastAsia="Times New Roman"/>
          <w:b w:val="0"/>
          <w:bCs w:val="0"/>
          <w:sz w:val="24"/>
          <w:szCs w:val="24"/>
        </w:rPr>
        <w:t>; if you aren’t a student member of ICMA, this may be the time to do it</w:t>
      </w:r>
      <w:r w:rsidR="002057E0">
        <w:rPr>
          <w:rFonts w:eastAsia="Times New Roman"/>
          <w:b w:val="0"/>
          <w:bCs w:val="0"/>
          <w:sz w:val="24"/>
          <w:szCs w:val="24"/>
        </w:rPr>
        <w:t>)</w:t>
      </w:r>
    </w:p>
    <w:p w:rsidR="002057E0" w:rsidRPr="002057E0" w:rsidRDefault="002057E0" w:rsidP="00905B6D">
      <w:pPr>
        <w:pStyle w:val="Heading3"/>
        <w:spacing w:before="0" w:beforeAutospacing="0" w:after="120" w:afterAutospacing="0"/>
        <w:rPr>
          <w:rFonts w:eastAsia="Times New Roman"/>
          <w:b w:val="0"/>
          <w:bCs w:val="0"/>
          <w:sz w:val="24"/>
          <w:szCs w:val="24"/>
        </w:rPr>
      </w:pPr>
      <w:r>
        <w:rPr>
          <w:rFonts w:eastAsia="Times New Roman"/>
          <w:b w:val="0"/>
          <w:bCs w:val="0"/>
          <w:sz w:val="24"/>
          <w:szCs w:val="24"/>
        </w:rPr>
        <w:t xml:space="preserve">David Osborne &amp; Peter Hutchinson, </w:t>
      </w:r>
      <w:proofErr w:type="gramStart"/>
      <w:r>
        <w:rPr>
          <w:rFonts w:eastAsia="Times New Roman"/>
          <w:b w:val="0"/>
          <w:bCs w:val="0"/>
          <w:i/>
          <w:sz w:val="24"/>
          <w:szCs w:val="24"/>
        </w:rPr>
        <w:t>The</w:t>
      </w:r>
      <w:proofErr w:type="gramEnd"/>
      <w:r>
        <w:rPr>
          <w:rFonts w:eastAsia="Times New Roman"/>
          <w:b w:val="0"/>
          <w:bCs w:val="0"/>
          <w:i/>
          <w:sz w:val="24"/>
          <w:szCs w:val="24"/>
        </w:rPr>
        <w:t xml:space="preserve"> Price of Government</w:t>
      </w:r>
      <w:r>
        <w:rPr>
          <w:rFonts w:eastAsia="Times New Roman"/>
          <w:b w:val="0"/>
          <w:bCs w:val="0"/>
          <w:sz w:val="24"/>
          <w:szCs w:val="24"/>
        </w:rPr>
        <w:t xml:space="preserve"> (Basic Books, 2006) ($14.86 from Amazon)</w:t>
      </w:r>
    </w:p>
    <w:p w:rsidR="00905B6D" w:rsidRPr="00905B6D" w:rsidRDefault="00905B6D" w:rsidP="00905B6D">
      <w:pPr>
        <w:pStyle w:val="Heading3"/>
        <w:spacing w:before="0" w:beforeAutospacing="0" w:after="120" w:afterAutospacing="0"/>
        <w:rPr>
          <w:rFonts w:eastAsia="Times New Roman"/>
          <w:b w:val="0"/>
          <w:bCs w:val="0"/>
          <w:sz w:val="24"/>
          <w:szCs w:val="24"/>
        </w:rPr>
      </w:pPr>
    </w:p>
    <w:p w:rsidR="0008390C" w:rsidRDefault="00C80B0D">
      <w:r>
        <w:t>While there is a textbook for this course, the course is not the text. There will be supplemental readings (see the Course Calendar), as well as extensive reflection and discussion of primary data that you will be collecting.</w:t>
      </w:r>
    </w:p>
    <w:p w:rsidR="0008390C" w:rsidRDefault="00C80B0D">
      <w:pPr>
        <w:pStyle w:val="Heading2"/>
        <w:rPr>
          <w:rFonts w:eastAsia="Times New Roman"/>
          <w:color w:val="800080"/>
        </w:rPr>
      </w:pPr>
      <w:r>
        <w:rPr>
          <w:rFonts w:eastAsia="Times New Roman"/>
          <w:color w:val="800080"/>
        </w:rPr>
        <w:t xml:space="preserve">Course Objectives: </w:t>
      </w:r>
    </w:p>
    <w:p w:rsidR="0008390C" w:rsidRDefault="00C80B0D">
      <w:pPr>
        <w:spacing w:before="100" w:beforeAutospacing="1" w:after="100" w:afterAutospacing="1"/>
      </w:pPr>
      <w:r>
        <w:t>The purpose of this c</w:t>
      </w:r>
      <w:r w:rsidR="00876AD3">
        <w:t xml:space="preserve">ourse is to introduce you to local government accounting, budgeting and finance.  You will learn how to read and interpret local government financial statements, procedures for preparing and adopting a budget, </w:t>
      </w:r>
      <w:r w:rsidR="00111B1A">
        <w:t xml:space="preserve">capital improvement financing, </w:t>
      </w:r>
      <w:r w:rsidR="00771F76">
        <w:t>and sound financial management.</w:t>
      </w:r>
    </w:p>
    <w:p w:rsidR="0008390C" w:rsidRDefault="00C80B0D">
      <w:pPr>
        <w:pStyle w:val="NormalWeb"/>
      </w:pPr>
      <w:r>
        <w:t xml:space="preserve">By the end of the term you will be able to: </w:t>
      </w:r>
    </w:p>
    <w:p w:rsidR="00834FF9" w:rsidRDefault="00834FF9" w:rsidP="00834FF9">
      <w:pPr>
        <w:pStyle w:val="ListParagraph"/>
        <w:widowControl w:val="0"/>
        <w:numPr>
          <w:ilvl w:val="0"/>
          <w:numId w:val="7"/>
        </w:numPr>
        <w:autoSpaceDE w:val="0"/>
        <w:autoSpaceDN w:val="0"/>
        <w:adjustRightInd w:val="0"/>
      </w:pPr>
      <w:r>
        <w:t>Apply generally accepted accounting principles to local government accounts</w:t>
      </w:r>
    </w:p>
    <w:p w:rsidR="00834FF9" w:rsidRPr="00834FF9" w:rsidRDefault="00834FF9" w:rsidP="00834FF9">
      <w:pPr>
        <w:pStyle w:val="ListParagraph"/>
        <w:widowControl w:val="0"/>
        <w:numPr>
          <w:ilvl w:val="0"/>
          <w:numId w:val="7"/>
        </w:numPr>
        <w:autoSpaceDE w:val="0"/>
        <w:autoSpaceDN w:val="0"/>
        <w:adjustRightInd w:val="0"/>
      </w:pPr>
      <w:r w:rsidRPr="00834FF9">
        <w:t>Acquire an understanding of how the budget functions as a management and policy tool</w:t>
      </w:r>
    </w:p>
    <w:p w:rsidR="00834FF9" w:rsidRPr="00834FF9" w:rsidRDefault="00834FF9" w:rsidP="00834FF9">
      <w:pPr>
        <w:pStyle w:val="ListParagraph"/>
        <w:widowControl w:val="0"/>
        <w:numPr>
          <w:ilvl w:val="0"/>
          <w:numId w:val="7"/>
        </w:numPr>
        <w:autoSpaceDE w:val="0"/>
        <w:autoSpaceDN w:val="0"/>
        <w:adjustRightInd w:val="0"/>
      </w:pPr>
      <w:r w:rsidRPr="00834FF9">
        <w:t>Develop a competency in budget terminology and procedures</w:t>
      </w:r>
    </w:p>
    <w:p w:rsidR="00834FF9" w:rsidRPr="00834FF9" w:rsidRDefault="00834FF9" w:rsidP="00834FF9">
      <w:pPr>
        <w:pStyle w:val="ListParagraph"/>
        <w:widowControl w:val="0"/>
        <w:numPr>
          <w:ilvl w:val="0"/>
          <w:numId w:val="7"/>
        </w:numPr>
        <w:autoSpaceDE w:val="0"/>
        <w:autoSpaceDN w:val="0"/>
        <w:adjustRightInd w:val="0"/>
      </w:pPr>
      <w:r w:rsidRPr="00834FF9">
        <w:t>Become adept at the use of Excel and acquire an understanding of the use of other technology in budgeting</w:t>
      </w:r>
    </w:p>
    <w:p w:rsidR="00834FF9" w:rsidRDefault="00834FF9" w:rsidP="00834FF9">
      <w:pPr>
        <w:pStyle w:val="NormalWeb"/>
        <w:tabs>
          <w:tab w:val="num" w:pos="720"/>
        </w:tabs>
        <w:spacing w:before="0" w:beforeAutospacing="0" w:after="0" w:afterAutospacing="0"/>
        <w:ind w:left="720" w:hanging="360"/>
      </w:pPr>
    </w:p>
    <w:p w:rsidR="0008390C" w:rsidRPr="00834FF9" w:rsidRDefault="00C80B0D" w:rsidP="00834FF9">
      <w:pPr>
        <w:pStyle w:val="NormalWeb"/>
        <w:tabs>
          <w:tab w:val="num" w:pos="720"/>
        </w:tabs>
        <w:spacing w:before="0" w:beforeAutospacing="0" w:after="0" w:afterAutospacing="0"/>
        <w:ind w:left="720" w:hanging="360"/>
      </w:pPr>
      <w:r w:rsidRPr="00834FF9">
        <w:t>In addition to the specific course outcomes, there are three additional outcomes that are common to most, if not all, courses at MSU:</w:t>
      </w:r>
    </w:p>
    <w:p w:rsidR="0008390C" w:rsidRPr="00834FF9" w:rsidRDefault="00C80B0D" w:rsidP="00834FF9">
      <w:pPr>
        <w:pStyle w:val="NormalWeb"/>
        <w:tabs>
          <w:tab w:val="num" w:pos="720"/>
        </w:tabs>
        <w:spacing w:before="0" w:beforeAutospacing="0" w:after="0" w:afterAutospacing="0"/>
        <w:ind w:left="720" w:hanging="360"/>
      </w:pPr>
      <w:r w:rsidRPr="00834FF9">
        <w:t>1.</w:t>
      </w:r>
      <w:r w:rsidR="00834FF9">
        <w:t>  </w:t>
      </w:r>
      <w:r w:rsidRPr="00834FF9">
        <w:t xml:space="preserve">Develop your creative and </w:t>
      </w:r>
      <w:r w:rsidRPr="00834FF9">
        <w:rPr>
          <w:i/>
        </w:rPr>
        <w:t>critical thinking</w:t>
      </w:r>
      <w:r w:rsidRPr="00834FF9">
        <w:t xml:space="preserve"> powers in addressing problems and opportunities;</w:t>
      </w:r>
    </w:p>
    <w:p w:rsidR="0008390C" w:rsidRPr="00834FF9" w:rsidRDefault="00C80B0D" w:rsidP="00834FF9">
      <w:pPr>
        <w:pStyle w:val="NormalWeb"/>
        <w:tabs>
          <w:tab w:val="num" w:pos="720"/>
        </w:tabs>
        <w:spacing w:before="0" w:beforeAutospacing="0" w:after="0" w:afterAutospacing="0"/>
        <w:ind w:left="720" w:hanging="360"/>
      </w:pPr>
      <w:r w:rsidRPr="00834FF9">
        <w:t>2.</w:t>
      </w:r>
      <w:r w:rsidR="00834FF9">
        <w:t>  </w:t>
      </w:r>
      <w:r w:rsidRPr="00834FF9">
        <w:t xml:space="preserve">Develop personal </w:t>
      </w:r>
      <w:r w:rsidRPr="00834FF9">
        <w:rPr>
          <w:i/>
        </w:rPr>
        <w:t>communication skills</w:t>
      </w:r>
      <w:r w:rsidRPr="00834FF9">
        <w:t>, both oral and (especially in this course) written;</w:t>
      </w:r>
    </w:p>
    <w:p w:rsidR="00771F76" w:rsidRDefault="00C80B0D" w:rsidP="00834FF9">
      <w:pPr>
        <w:pStyle w:val="NormalWeb"/>
        <w:tabs>
          <w:tab w:val="num" w:pos="720"/>
        </w:tabs>
        <w:spacing w:before="0" w:beforeAutospacing="0" w:after="0" w:afterAutospacing="0"/>
        <w:ind w:left="720" w:hanging="360"/>
      </w:pPr>
      <w:r w:rsidRPr="00834FF9">
        <w:t>3.</w:t>
      </w:r>
      <w:r w:rsidR="00834FF9">
        <w:t>  </w:t>
      </w:r>
      <w:r w:rsidRPr="00834FF9">
        <w:t xml:space="preserve">Improve your ability to work and interact with others in a </w:t>
      </w:r>
      <w:r w:rsidRPr="00834FF9">
        <w:rPr>
          <w:i/>
        </w:rPr>
        <w:t>team approach</w:t>
      </w:r>
      <w:r w:rsidRPr="00834FF9">
        <w:t>.</w:t>
      </w:r>
    </w:p>
    <w:p w:rsidR="0008390C" w:rsidRDefault="00C80B0D">
      <w:pPr>
        <w:pStyle w:val="Heading2"/>
        <w:rPr>
          <w:rFonts w:eastAsia="Times New Roman"/>
          <w:color w:val="000080"/>
        </w:rPr>
      </w:pPr>
      <w:r>
        <w:rPr>
          <w:rFonts w:eastAsia="Times New Roman"/>
          <w:color w:val="000080"/>
        </w:rPr>
        <w:t xml:space="preserve">Assignments: </w:t>
      </w:r>
    </w:p>
    <w:p w:rsidR="0008390C" w:rsidRDefault="00C80B0D">
      <w:pPr>
        <w:pStyle w:val="Heading3"/>
        <w:rPr>
          <w:rFonts w:eastAsia="Times New Roman"/>
          <w:color w:val="000080"/>
        </w:rPr>
      </w:pPr>
      <w:r>
        <w:rPr>
          <w:rFonts w:eastAsia="Times New Roman"/>
          <w:color w:val="000080"/>
        </w:rPr>
        <w:t>1.  Class Activities</w:t>
      </w:r>
    </w:p>
    <w:p w:rsidR="0008390C" w:rsidRDefault="00A13426">
      <w:pPr>
        <w:pStyle w:val="NormalWeb"/>
      </w:pPr>
      <w:r>
        <w:t>Y</w:t>
      </w:r>
      <w:r w:rsidR="00C80B0D">
        <w:t>ou are expected to do the readings assigned from the text and linked to the course calendar, an</w:t>
      </w:r>
      <w:r>
        <w:t xml:space="preserve">d be prepared to </w:t>
      </w:r>
      <w:r w:rsidR="00C80B0D">
        <w:t xml:space="preserve">discuss of them by the assigned date. </w:t>
      </w:r>
      <w:r>
        <w:t>The class time will be primarily devoted to discussion and problem-solving; I will not be lecturing on the assigned reading.</w:t>
      </w:r>
    </w:p>
    <w:p w:rsidR="00C64DFC" w:rsidRDefault="00C64DFC">
      <w:pPr>
        <w:pStyle w:val="Heading3"/>
        <w:rPr>
          <w:rFonts w:eastAsia="Times New Roman"/>
          <w:color w:val="000080"/>
        </w:rPr>
      </w:pPr>
      <w:r>
        <w:rPr>
          <w:rFonts w:eastAsia="Times New Roman"/>
          <w:color w:val="000080"/>
        </w:rPr>
        <w:t>2.  Select an Organization</w:t>
      </w:r>
    </w:p>
    <w:p w:rsidR="00C64DFC" w:rsidRPr="00C64DFC" w:rsidRDefault="00C64DFC">
      <w:pPr>
        <w:pStyle w:val="Heading3"/>
        <w:rPr>
          <w:rFonts w:eastAsia="Times New Roman"/>
          <w:b w:val="0"/>
          <w:sz w:val="24"/>
          <w:szCs w:val="24"/>
        </w:rPr>
      </w:pPr>
      <w:r w:rsidRPr="00C64DFC">
        <w:rPr>
          <w:rFonts w:eastAsia="Times New Roman"/>
          <w:b w:val="0"/>
          <w:sz w:val="24"/>
          <w:szCs w:val="24"/>
        </w:rPr>
        <w:t>Throughout the course, you will be applying the concepts you are learning to one organization with which you are familiar, or with which you can become familiar.  This may be a city in which you are currently or have previously been employed, it might be your home city, it might be an RDC, or….  You may want to secure a mentor in the organization from whom you can get information and with whom you can discuss what you are learning.</w:t>
      </w:r>
    </w:p>
    <w:p w:rsidR="0008390C" w:rsidRDefault="00C64DFC">
      <w:pPr>
        <w:pStyle w:val="Heading3"/>
        <w:rPr>
          <w:rFonts w:eastAsia="Times New Roman"/>
          <w:color w:val="000080"/>
        </w:rPr>
      </w:pPr>
      <w:r>
        <w:rPr>
          <w:rFonts w:eastAsia="Times New Roman"/>
          <w:color w:val="000080"/>
        </w:rPr>
        <w:t>3</w:t>
      </w:r>
      <w:r w:rsidR="00C80B0D">
        <w:rPr>
          <w:rFonts w:eastAsia="Times New Roman"/>
          <w:color w:val="000080"/>
        </w:rPr>
        <w:t xml:space="preserve">.  Writing Assignments: </w:t>
      </w:r>
    </w:p>
    <w:p w:rsidR="00470E1F" w:rsidRPr="00470E1F" w:rsidRDefault="00470E1F" w:rsidP="00A13426">
      <w:pPr>
        <w:pStyle w:val="Heading2"/>
        <w:numPr>
          <w:ilvl w:val="0"/>
          <w:numId w:val="5"/>
        </w:numPr>
        <w:rPr>
          <w:rFonts w:eastAsia="Times New Roman"/>
          <w:sz w:val="24"/>
          <w:szCs w:val="24"/>
        </w:rPr>
      </w:pPr>
      <w:r w:rsidRPr="00470E1F">
        <w:rPr>
          <w:rFonts w:eastAsia="Times New Roman"/>
          <w:sz w:val="24"/>
          <w:szCs w:val="24"/>
        </w:rPr>
        <w:t>Class Participation:</w:t>
      </w:r>
      <w:r>
        <w:rPr>
          <w:rFonts w:eastAsia="Times New Roman"/>
          <w:sz w:val="24"/>
          <w:szCs w:val="24"/>
        </w:rPr>
        <w:t xml:space="preserve">  </w:t>
      </w:r>
      <w:r>
        <w:rPr>
          <w:rFonts w:eastAsia="Times New Roman"/>
          <w:b w:val="0"/>
          <w:sz w:val="24"/>
          <w:szCs w:val="24"/>
        </w:rPr>
        <w:t>I will provide study questions for each of the first 8 weeks (except the first day of class).  You must send your responses to the study questions to me by noon of the class day.   Class participation will be worth 10% of your grade.</w:t>
      </w:r>
    </w:p>
    <w:p w:rsidR="00A13426" w:rsidRPr="00241BA0" w:rsidRDefault="00477E24" w:rsidP="00A13426">
      <w:pPr>
        <w:pStyle w:val="Heading2"/>
        <w:numPr>
          <w:ilvl w:val="0"/>
          <w:numId w:val="5"/>
        </w:numPr>
        <w:rPr>
          <w:rFonts w:eastAsia="Times New Roman"/>
        </w:rPr>
      </w:pPr>
      <w:r>
        <w:rPr>
          <w:rFonts w:eastAsia="Times New Roman"/>
          <w:sz w:val="24"/>
          <w:szCs w:val="24"/>
        </w:rPr>
        <w:t>Budget Analysis Exercises</w:t>
      </w:r>
      <w:r w:rsidR="00072506" w:rsidRPr="00241BA0">
        <w:rPr>
          <w:rFonts w:eastAsia="Times New Roman"/>
          <w:sz w:val="24"/>
          <w:szCs w:val="24"/>
        </w:rPr>
        <w:t xml:space="preserve">:  </w:t>
      </w:r>
      <w:r>
        <w:rPr>
          <w:rFonts w:eastAsia="Times New Roman"/>
          <w:b w:val="0"/>
          <w:sz w:val="24"/>
          <w:szCs w:val="24"/>
        </w:rPr>
        <w:t xml:space="preserve">The syllabus lists four budget analysis exercises using Excel spreadsheets (Budget Trend analysis, Revenue Forecasting, and Budget Monitoring, and CIP Game).  You are to follow the instructions for each exercise, and write a memo which </w:t>
      </w:r>
      <w:r w:rsidR="007F2EC2">
        <w:rPr>
          <w:rFonts w:eastAsia="Times New Roman"/>
          <w:b w:val="0"/>
          <w:sz w:val="24"/>
          <w:szCs w:val="24"/>
        </w:rPr>
        <w:t xml:space="preserve">will have two sections:  The first will be your solution to the problem presented by the exercise.  The second will be your reflection on the exercise—what you learned, what surprised you, what went the way you initially thought it would.  </w:t>
      </w:r>
      <w:r w:rsidR="00072506" w:rsidRPr="00241BA0">
        <w:rPr>
          <w:rFonts w:eastAsia="Times New Roman"/>
          <w:b w:val="0"/>
          <w:sz w:val="24"/>
          <w:szCs w:val="24"/>
        </w:rPr>
        <w:t xml:space="preserve"> </w:t>
      </w:r>
      <w:proofErr w:type="gramStart"/>
      <w:r w:rsidR="00072506" w:rsidRPr="00241BA0">
        <w:rPr>
          <w:rFonts w:eastAsia="Times New Roman"/>
          <w:b w:val="0"/>
          <w:sz w:val="24"/>
          <w:szCs w:val="24"/>
        </w:rPr>
        <w:t>(10 pts. apiece).</w:t>
      </w:r>
      <w:proofErr w:type="gramEnd"/>
    </w:p>
    <w:p w:rsidR="00072506" w:rsidRPr="00241BA0" w:rsidRDefault="00072506" w:rsidP="00A13426">
      <w:pPr>
        <w:pStyle w:val="Heading2"/>
        <w:numPr>
          <w:ilvl w:val="0"/>
          <w:numId w:val="5"/>
        </w:numPr>
        <w:rPr>
          <w:rFonts w:eastAsia="Times New Roman"/>
        </w:rPr>
      </w:pPr>
      <w:r w:rsidRPr="00241BA0">
        <w:rPr>
          <w:rFonts w:eastAsia="Times New Roman"/>
          <w:sz w:val="24"/>
          <w:szCs w:val="24"/>
        </w:rPr>
        <w:t>Class presentation:</w:t>
      </w:r>
      <w:r w:rsidRPr="00241BA0">
        <w:rPr>
          <w:rFonts w:eastAsia="Times New Roman"/>
        </w:rPr>
        <w:t xml:space="preserve">  </w:t>
      </w:r>
      <w:r w:rsidRPr="00241BA0">
        <w:rPr>
          <w:rFonts w:eastAsia="Times New Roman"/>
          <w:b w:val="0"/>
          <w:sz w:val="24"/>
          <w:szCs w:val="24"/>
        </w:rPr>
        <w:t xml:space="preserve">You will prepare a </w:t>
      </w:r>
      <w:proofErr w:type="spellStart"/>
      <w:proofErr w:type="gramStart"/>
      <w:r w:rsidRPr="00241BA0">
        <w:rPr>
          <w:rFonts w:eastAsia="Times New Roman"/>
          <w:b w:val="0"/>
          <w:sz w:val="24"/>
          <w:szCs w:val="24"/>
        </w:rPr>
        <w:t>powerpoint</w:t>
      </w:r>
      <w:proofErr w:type="spellEnd"/>
      <w:proofErr w:type="gramEnd"/>
      <w:r w:rsidRPr="00241BA0">
        <w:rPr>
          <w:rFonts w:eastAsia="Times New Roman"/>
          <w:b w:val="0"/>
          <w:sz w:val="24"/>
          <w:szCs w:val="24"/>
        </w:rPr>
        <w:t xml:space="preserve"> presentation to the class (60 minutes—explanation and application/class activity) on one of the </w:t>
      </w:r>
      <w:r w:rsidR="007F2EC2">
        <w:rPr>
          <w:rFonts w:eastAsia="Times New Roman"/>
          <w:b w:val="0"/>
          <w:sz w:val="24"/>
          <w:szCs w:val="24"/>
        </w:rPr>
        <w:t xml:space="preserve">strategies proposed by Osborne &amp; Hutchinson for setting the price for government.  In addition to explaining the key concepts of the strategy, you should also provide an exercise (in-class or in preparation for class) which will give your classmates an opportunity to practice what you are preaching.  When you explain the strategy, be sure to relate it to concepts from the </w:t>
      </w:r>
      <w:r w:rsidR="007F2EC2">
        <w:rPr>
          <w:rFonts w:eastAsia="Times New Roman"/>
          <w:b w:val="0"/>
          <w:i/>
          <w:sz w:val="24"/>
          <w:szCs w:val="24"/>
        </w:rPr>
        <w:t>Budgeting Guide</w:t>
      </w:r>
      <w:r w:rsidR="007F2EC2">
        <w:rPr>
          <w:rFonts w:eastAsia="Times New Roman"/>
          <w:b w:val="0"/>
          <w:sz w:val="24"/>
          <w:szCs w:val="24"/>
        </w:rPr>
        <w:t>, as appropriate.</w:t>
      </w:r>
      <w:r w:rsidRPr="00241BA0">
        <w:rPr>
          <w:rFonts w:eastAsia="Times New Roman"/>
          <w:b w:val="0"/>
          <w:sz w:val="24"/>
          <w:szCs w:val="24"/>
        </w:rPr>
        <w:t xml:space="preserve"> </w:t>
      </w:r>
      <w:proofErr w:type="gramStart"/>
      <w:r w:rsidRPr="00241BA0">
        <w:rPr>
          <w:rFonts w:eastAsia="Times New Roman"/>
          <w:b w:val="0"/>
          <w:sz w:val="24"/>
          <w:szCs w:val="24"/>
        </w:rPr>
        <w:t>(25 pts.)</w:t>
      </w:r>
      <w:proofErr w:type="gramEnd"/>
    </w:p>
    <w:p w:rsidR="00072506" w:rsidRPr="00241BA0" w:rsidRDefault="00072506" w:rsidP="00A13426">
      <w:pPr>
        <w:pStyle w:val="Heading2"/>
        <w:numPr>
          <w:ilvl w:val="0"/>
          <w:numId w:val="5"/>
        </w:numPr>
        <w:rPr>
          <w:rFonts w:eastAsia="Times New Roman"/>
        </w:rPr>
      </w:pPr>
      <w:r w:rsidRPr="00241BA0">
        <w:rPr>
          <w:rFonts w:eastAsia="Times New Roman"/>
          <w:sz w:val="24"/>
          <w:szCs w:val="24"/>
        </w:rPr>
        <w:t>Symposium:</w:t>
      </w:r>
      <w:r w:rsidRPr="00241BA0">
        <w:rPr>
          <w:rFonts w:eastAsia="Times New Roman"/>
        </w:rPr>
        <w:t xml:space="preserve">  </w:t>
      </w:r>
      <w:r w:rsidR="00C64DFC" w:rsidRPr="00241BA0">
        <w:rPr>
          <w:rFonts w:eastAsia="Times New Roman"/>
          <w:b w:val="0"/>
          <w:sz w:val="24"/>
          <w:szCs w:val="24"/>
        </w:rPr>
        <w:t xml:space="preserve">The last class meeting will be a Symposium—an open discussion—on the topic of what changes you would make in the organization you have been studying, were you in charge.  While each of you will, of course, present your own ideas for your organization, you will also be expected to reflect on what your classmates might do with their organizations.  You will write a summary analysis of and recommendations for your organization and submit it to me by e-mail by </w:t>
      </w:r>
      <w:r w:rsidR="00470E1F">
        <w:rPr>
          <w:rFonts w:eastAsia="Times New Roman"/>
          <w:b w:val="0"/>
          <w:sz w:val="24"/>
          <w:szCs w:val="24"/>
        </w:rPr>
        <w:t>May 5</w:t>
      </w:r>
      <w:r w:rsidR="00C64DFC" w:rsidRPr="00241BA0">
        <w:rPr>
          <w:rFonts w:eastAsia="Times New Roman"/>
          <w:b w:val="0"/>
          <w:sz w:val="24"/>
          <w:szCs w:val="24"/>
        </w:rPr>
        <w:t>.  Your mentor might also be interested in receiving a copy of your paper.  Your contribution to the Symposium and the paper that results from it will be worth one quarter of your grade (25 pts.).</w:t>
      </w:r>
    </w:p>
    <w:p w:rsidR="0008390C" w:rsidRDefault="00C80B0D">
      <w:pPr>
        <w:pStyle w:val="Heading2"/>
        <w:rPr>
          <w:rFonts w:eastAsia="Times New Roman"/>
          <w:color w:val="800080"/>
        </w:rPr>
      </w:pPr>
      <w:r>
        <w:rPr>
          <w:rFonts w:eastAsia="Times New Roman"/>
          <w:color w:val="800080"/>
        </w:rPr>
        <w:t>Course Calendar</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733"/>
        <w:gridCol w:w="1260"/>
        <w:gridCol w:w="3240"/>
      </w:tblGrid>
      <w:tr w:rsidR="00241BA0" w:rsidTr="00470E1F">
        <w:tc>
          <w:tcPr>
            <w:tcW w:w="801" w:type="dxa"/>
            <w:tcBorders>
              <w:top w:val="single" w:sz="4" w:space="0" w:color="auto"/>
              <w:left w:val="single" w:sz="4" w:space="0" w:color="auto"/>
              <w:bottom w:val="single" w:sz="4" w:space="0" w:color="auto"/>
              <w:right w:val="single" w:sz="4" w:space="0" w:color="auto"/>
            </w:tcBorders>
            <w:hideMark/>
          </w:tcPr>
          <w:p w:rsidR="00241BA0" w:rsidRDefault="00470E1F">
            <w:pPr>
              <w:rPr>
                <w:b/>
              </w:rPr>
            </w:pPr>
            <w:r>
              <w:rPr>
                <w:b/>
              </w:rPr>
              <w:t>Week of</w:t>
            </w:r>
          </w:p>
        </w:tc>
        <w:tc>
          <w:tcPr>
            <w:tcW w:w="2733" w:type="dxa"/>
            <w:tcBorders>
              <w:top w:val="single" w:sz="4" w:space="0" w:color="auto"/>
              <w:left w:val="single" w:sz="4" w:space="0" w:color="auto"/>
              <w:bottom w:val="single" w:sz="4" w:space="0" w:color="auto"/>
              <w:right w:val="single" w:sz="4" w:space="0" w:color="auto"/>
            </w:tcBorders>
            <w:hideMark/>
          </w:tcPr>
          <w:p w:rsidR="00241BA0" w:rsidRDefault="00241BA0">
            <w:pPr>
              <w:rPr>
                <w:b/>
              </w:rPr>
            </w:pPr>
            <w:r>
              <w:rPr>
                <w:b/>
              </w:rPr>
              <w:t>Topic</w:t>
            </w:r>
          </w:p>
        </w:tc>
        <w:tc>
          <w:tcPr>
            <w:tcW w:w="1260" w:type="dxa"/>
            <w:tcBorders>
              <w:top w:val="single" w:sz="4" w:space="0" w:color="auto"/>
              <w:left w:val="single" w:sz="4" w:space="0" w:color="auto"/>
              <w:bottom w:val="single" w:sz="4" w:space="0" w:color="auto"/>
              <w:right w:val="single" w:sz="4" w:space="0" w:color="auto"/>
            </w:tcBorders>
            <w:hideMark/>
          </w:tcPr>
          <w:p w:rsidR="00241BA0" w:rsidRDefault="00241BA0">
            <w:pPr>
              <w:rPr>
                <w:b/>
              </w:rPr>
            </w:pPr>
            <w:smartTag w:uri="urn:schemas-microsoft-com:office:smarttags" w:element="place">
              <w:smartTag w:uri="urn:schemas-microsoft-com:office:smarttags" w:element="City">
                <w:r>
                  <w:rPr>
                    <w:b/>
                  </w:rPr>
                  <w:t>Reading</w:t>
                </w:r>
              </w:smartTag>
            </w:smartTag>
            <w:r>
              <w:rPr>
                <w:b/>
              </w:rPr>
              <w:t xml:space="preserve"> from Text</w:t>
            </w:r>
          </w:p>
        </w:tc>
        <w:tc>
          <w:tcPr>
            <w:tcW w:w="3240" w:type="dxa"/>
            <w:tcBorders>
              <w:top w:val="single" w:sz="4" w:space="0" w:color="auto"/>
              <w:left w:val="single" w:sz="4" w:space="0" w:color="auto"/>
              <w:bottom w:val="single" w:sz="4" w:space="0" w:color="auto"/>
              <w:right w:val="single" w:sz="4" w:space="0" w:color="auto"/>
            </w:tcBorders>
            <w:hideMark/>
          </w:tcPr>
          <w:p w:rsidR="00241BA0" w:rsidRDefault="00241BA0">
            <w:pPr>
              <w:rPr>
                <w:b/>
              </w:rPr>
            </w:pPr>
            <w:r>
              <w:rPr>
                <w:b/>
              </w:rPr>
              <w:t xml:space="preserve">Notes/Additional </w:t>
            </w:r>
            <w:smartTag w:uri="urn:schemas-microsoft-com:office:smarttags" w:element="place">
              <w:smartTag w:uri="urn:schemas-microsoft-com:office:smarttags" w:element="City">
                <w:r>
                  <w:rPr>
                    <w:b/>
                  </w:rPr>
                  <w:t>Readings</w:t>
                </w:r>
              </w:smartTag>
            </w:smartTag>
          </w:p>
        </w:tc>
      </w:tr>
      <w:tr w:rsidR="00241BA0" w:rsidTr="00470E1F">
        <w:tc>
          <w:tcPr>
            <w:tcW w:w="801" w:type="dxa"/>
            <w:tcBorders>
              <w:top w:val="single" w:sz="4" w:space="0" w:color="auto"/>
              <w:left w:val="single" w:sz="4" w:space="0" w:color="auto"/>
              <w:bottom w:val="single" w:sz="4" w:space="0" w:color="auto"/>
              <w:right w:val="single" w:sz="4" w:space="0" w:color="auto"/>
            </w:tcBorders>
          </w:tcPr>
          <w:p w:rsidR="00241BA0" w:rsidRDefault="00470E1F">
            <w:r>
              <w:t>1/13</w:t>
            </w:r>
          </w:p>
        </w:tc>
        <w:tc>
          <w:tcPr>
            <w:tcW w:w="2733" w:type="dxa"/>
            <w:tcBorders>
              <w:top w:val="single" w:sz="4" w:space="0" w:color="auto"/>
              <w:left w:val="single" w:sz="4" w:space="0" w:color="auto"/>
              <w:bottom w:val="single" w:sz="4" w:space="0" w:color="auto"/>
              <w:right w:val="single" w:sz="4" w:space="0" w:color="auto"/>
            </w:tcBorders>
            <w:hideMark/>
          </w:tcPr>
          <w:p w:rsidR="00241BA0" w:rsidRDefault="00834FF9">
            <w:r>
              <w:t>Introduction</w:t>
            </w:r>
          </w:p>
        </w:tc>
        <w:tc>
          <w:tcPr>
            <w:tcW w:w="1260" w:type="dxa"/>
            <w:tcBorders>
              <w:top w:val="single" w:sz="4" w:space="0" w:color="auto"/>
              <w:left w:val="single" w:sz="4" w:space="0" w:color="auto"/>
              <w:bottom w:val="single" w:sz="4" w:space="0" w:color="auto"/>
              <w:right w:val="single" w:sz="4" w:space="0" w:color="auto"/>
            </w:tcBorders>
            <w:hideMark/>
          </w:tcPr>
          <w:p w:rsidR="00241BA0" w:rsidRDefault="00241BA0"/>
        </w:tc>
        <w:tc>
          <w:tcPr>
            <w:tcW w:w="3240" w:type="dxa"/>
            <w:tcBorders>
              <w:top w:val="single" w:sz="4" w:space="0" w:color="auto"/>
              <w:left w:val="single" w:sz="4" w:space="0" w:color="auto"/>
              <w:bottom w:val="single" w:sz="4" w:space="0" w:color="auto"/>
              <w:right w:val="single" w:sz="4" w:space="0" w:color="auto"/>
            </w:tcBorders>
            <w:hideMark/>
          </w:tcPr>
          <w:p w:rsidR="00241BA0" w:rsidRDefault="00241BA0"/>
        </w:tc>
      </w:tr>
      <w:tr w:rsidR="00241BA0" w:rsidTr="00470E1F">
        <w:tc>
          <w:tcPr>
            <w:tcW w:w="801" w:type="dxa"/>
            <w:tcBorders>
              <w:top w:val="single" w:sz="4" w:space="0" w:color="auto"/>
              <w:left w:val="single" w:sz="4" w:space="0" w:color="auto"/>
              <w:bottom w:val="single" w:sz="4" w:space="0" w:color="auto"/>
              <w:right w:val="single" w:sz="4" w:space="0" w:color="auto"/>
            </w:tcBorders>
          </w:tcPr>
          <w:p w:rsidR="00241BA0" w:rsidRDefault="00470E1F">
            <w:r>
              <w:t>1/20</w:t>
            </w:r>
          </w:p>
        </w:tc>
        <w:tc>
          <w:tcPr>
            <w:tcW w:w="2733" w:type="dxa"/>
            <w:tcBorders>
              <w:top w:val="single" w:sz="4" w:space="0" w:color="auto"/>
              <w:left w:val="single" w:sz="4" w:space="0" w:color="auto"/>
              <w:bottom w:val="single" w:sz="4" w:space="0" w:color="auto"/>
              <w:right w:val="single" w:sz="4" w:space="0" w:color="auto"/>
            </w:tcBorders>
          </w:tcPr>
          <w:p w:rsidR="00241BA0" w:rsidRDefault="00834FF9">
            <w:r>
              <w:t>Reading the Financials</w:t>
            </w:r>
          </w:p>
        </w:tc>
        <w:tc>
          <w:tcPr>
            <w:tcW w:w="1260" w:type="dxa"/>
            <w:tcBorders>
              <w:top w:val="single" w:sz="4" w:space="0" w:color="auto"/>
              <w:left w:val="single" w:sz="4" w:space="0" w:color="auto"/>
              <w:bottom w:val="single" w:sz="4" w:space="0" w:color="auto"/>
              <w:right w:val="single" w:sz="4" w:space="0" w:color="auto"/>
            </w:tcBorders>
          </w:tcPr>
          <w:p w:rsidR="00241BA0" w:rsidRDefault="00241BA0"/>
        </w:tc>
        <w:tc>
          <w:tcPr>
            <w:tcW w:w="3240" w:type="dxa"/>
            <w:tcBorders>
              <w:top w:val="single" w:sz="4" w:space="0" w:color="auto"/>
              <w:left w:val="single" w:sz="4" w:space="0" w:color="auto"/>
              <w:bottom w:val="single" w:sz="4" w:space="0" w:color="auto"/>
              <w:right w:val="single" w:sz="4" w:space="0" w:color="auto"/>
            </w:tcBorders>
            <w:hideMark/>
          </w:tcPr>
          <w:p w:rsidR="00241BA0" w:rsidRPr="00166C96" w:rsidRDefault="00876AD3">
            <w:r w:rsidRPr="00166C96">
              <w:t>“</w:t>
            </w:r>
            <w:hyperlink r:id="rId10" w:history="1">
              <w:r w:rsidRPr="00166C96">
                <w:rPr>
                  <w:rStyle w:val="Hyperlink"/>
                </w:rPr>
                <w:t>Interpreting Local Government Financial Statements</w:t>
              </w:r>
            </w:hyperlink>
            <w:r w:rsidRPr="00166C96">
              <w:t>”</w:t>
            </w:r>
            <w:r w:rsidR="00834FF9" w:rsidRPr="00166C96">
              <w:t xml:space="preserve">; MN </w:t>
            </w:r>
            <w:hyperlink r:id="rId11" w:history="1">
              <w:r w:rsidR="00834FF9" w:rsidRPr="00166C96">
                <w:rPr>
                  <w:rStyle w:val="Hyperlink"/>
                </w:rPr>
                <w:t>Chart of Accounts</w:t>
              </w:r>
            </w:hyperlink>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1/27</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Revenue Sources</w:t>
            </w:r>
          </w:p>
        </w:tc>
        <w:tc>
          <w:tcPr>
            <w:tcW w:w="1260" w:type="dxa"/>
            <w:tcBorders>
              <w:top w:val="single" w:sz="4" w:space="0" w:color="auto"/>
              <w:left w:val="single" w:sz="4" w:space="0" w:color="auto"/>
              <w:bottom w:val="single" w:sz="4" w:space="0" w:color="auto"/>
              <w:right w:val="single" w:sz="4" w:space="0" w:color="auto"/>
            </w:tcBorders>
          </w:tcPr>
          <w:p w:rsidR="00477E24" w:rsidRDefault="00477E24">
            <w:r>
              <w:t>BG Ch. 1</w:t>
            </w:r>
          </w:p>
        </w:tc>
        <w:tc>
          <w:tcPr>
            <w:tcW w:w="3240" w:type="dxa"/>
            <w:tcBorders>
              <w:top w:val="single" w:sz="4" w:space="0" w:color="auto"/>
              <w:left w:val="single" w:sz="4" w:space="0" w:color="auto"/>
              <w:bottom w:val="single" w:sz="4" w:space="0" w:color="auto"/>
              <w:right w:val="single" w:sz="4" w:space="0" w:color="auto"/>
            </w:tcBorders>
            <w:hideMark/>
          </w:tcPr>
          <w:p w:rsidR="00477E24" w:rsidRPr="00166C96" w:rsidRDefault="00477E24" w:rsidP="00477E24">
            <w:proofErr w:type="spellStart"/>
            <w:r>
              <w:t>Tannewald</w:t>
            </w:r>
            <w:proofErr w:type="spellEnd"/>
            <w:r>
              <w:t xml:space="preserve">; </w:t>
            </w:r>
            <w:hyperlink r:id="rId12" w:history="1">
              <w:r w:rsidRPr="00166C96">
                <w:rPr>
                  <w:rStyle w:val="Hyperlink"/>
                </w:rPr>
                <w:t>Budget Trend Analysis</w:t>
              </w:r>
            </w:hyperlink>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2/3</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The Budget Cycle</w:t>
            </w:r>
          </w:p>
        </w:tc>
        <w:tc>
          <w:tcPr>
            <w:tcW w:w="1260" w:type="dxa"/>
            <w:tcBorders>
              <w:top w:val="single" w:sz="4" w:space="0" w:color="auto"/>
              <w:left w:val="single" w:sz="4" w:space="0" w:color="auto"/>
              <w:bottom w:val="single" w:sz="4" w:space="0" w:color="auto"/>
              <w:right w:val="single" w:sz="4" w:space="0" w:color="auto"/>
            </w:tcBorders>
          </w:tcPr>
          <w:p w:rsidR="00477E24" w:rsidRDefault="00477E24">
            <w:r>
              <w:t>Ch. 2</w:t>
            </w:r>
          </w:p>
        </w:tc>
        <w:tc>
          <w:tcPr>
            <w:tcW w:w="3240" w:type="dxa"/>
            <w:tcBorders>
              <w:top w:val="single" w:sz="4" w:space="0" w:color="auto"/>
              <w:left w:val="single" w:sz="4" w:space="0" w:color="auto"/>
              <w:bottom w:val="single" w:sz="4" w:space="0" w:color="auto"/>
              <w:right w:val="single" w:sz="4" w:space="0" w:color="auto"/>
            </w:tcBorders>
            <w:hideMark/>
          </w:tcPr>
          <w:p w:rsidR="00477E24" w:rsidRPr="00166C96" w:rsidRDefault="00477E24">
            <w:r w:rsidRPr="00166C96">
              <w:t>Key; Michel</w:t>
            </w:r>
            <w:r>
              <w:t xml:space="preserve">;  </w:t>
            </w:r>
            <w:hyperlink r:id="rId13" w:history="1">
              <w:r w:rsidRPr="00166C96">
                <w:rPr>
                  <w:rStyle w:val="Hyperlink"/>
                </w:rPr>
                <w:t>Revenue Forecasting</w:t>
              </w:r>
            </w:hyperlink>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2/10</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Managing Budget Process</w:t>
            </w:r>
          </w:p>
        </w:tc>
        <w:tc>
          <w:tcPr>
            <w:tcW w:w="1260" w:type="dxa"/>
            <w:tcBorders>
              <w:top w:val="single" w:sz="4" w:space="0" w:color="auto"/>
              <w:left w:val="single" w:sz="4" w:space="0" w:color="auto"/>
              <w:bottom w:val="single" w:sz="4" w:space="0" w:color="auto"/>
              <w:right w:val="single" w:sz="4" w:space="0" w:color="auto"/>
            </w:tcBorders>
          </w:tcPr>
          <w:p w:rsidR="00477E24" w:rsidRDefault="00477E24">
            <w:r>
              <w:t>Ch. 3</w:t>
            </w:r>
          </w:p>
        </w:tc>
        <w:tc>
          <w:tcPr>
            <w:tcW w:w="3240" w:type="dxa"/>
            <w:tcBorders>
              <w:top w:val="single" w:sz="4" w:space="0" w:color="auto"/>
              <w:left w:val="single" w:sz="4" w:space="0" w:color="auto"/>
              <w:bottom w:val="single" w:sz="4" w:space="0" w:color="auto"/>
              <w:right w:val="single" w:sz="4" w:space="0" w:color="auto"/>
            </w:tcBorders>
            <w:hideMark/>
          </w:tcPr>
          <w:p w:rsidR="00477E24" w:rsidRPr="00166C96" w:rsidRDefault="00477E24">
            <w:proofErr w:type="spellStart"/>
            <w:r>
              <w:t>Lindblom</w:t>
            </w:r>
            <w:proofErr w:type="spellEnd"/>
            <w:r>
              <w:t>; Johnson</w:t>
            </w:r>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2/17</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Implementing the Budget</w:t>
            </w:r>
          </w:p>
        </w:tc>
        <w:tc>
          <w:tcPr>
            <w:tcW w:w="1260" w:type="dxa"/>
            <w:tcBorders>
              <w:top w:val="single" w:sz="4" w:space="0" w:color="auto"/>
              <w:left w:val="single" w:sz="4" w:space="0" w:color="auto"/>
              <w:bottom w:val="single" w:sz="4" w:space="0" w:color="auto"/>
              <w:right w:val="single" w:sz="4" w:space="0" w:color="auto"/>
            </w:tcBorders>
          </w:tcPr>
          <w:p w:rsidR="00477E24" w:rsidRDefault="00477E24">
            <w:r>
              <w:t>Ch. 4</w:t>
            </w:r>
          </w:p>
        </w:tc>
        <w:tc>
          <w:tcPr>
            <w:tcW w:w="3240" w:type="dxa"/>
            <w:tcBorders>
              <w:top w:val="single" w:sz="4" w:space="0" w:color="auto"/>
              <w:left w:val="single" w:sz="4" w:space="0" w:color="auto"/>
              <w:bottom w:val="single" w:sz="4" w:space="0" w:color="auto"/>
              <w:right w:val="single" w:sz="4" w:space="0" w:color="auto"/>
            </w:tcBorders>
          </w:tcPr>
          <w:p w:rsidR="00477E24" w:rsidRPr="00166C96" w:rsidRDefault="00477E24" w:rsidP="00580559">
            <w:hyperlink r:id="rId14" w:history="1">
              <w:r w:rsidRPr="00166C96">
                <w:rPr>
                  <w:rStyle w:val="Hyperlink"/>
                </w:rPr>
                <w:t>Budget Monitoring</w:t>
              </w:r>
            </w:hyperlink>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2/24</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Accountability</w:t>
            </w:r>
          </w:p>
        </w:tc>
        <w:tc>
          <w:tcPr>
            <w:tcW w:w="1260" w:type="dxa"/>
            <w:tcBorders>
              <w:top w:val="single" w:sz="4" w:space="0" w:color="auto"/>
              <w:left w:val="single" w:sz="4" w:space="0" w:color="auto"/>
              <w:bottom w:val="single" w:sz="4" w:space="0" w:color="auto"/>
              <w:right w:val="single" w:sz="4" w:space="0" w:color="auto"/>
            </w:tcBorders>
          </w:tcPr>
          <w:p w:rsidR="00477E24" w:rsidRPr="00166C96" w:rsidRDefault="00477E24">
            <w:r w:rsidRPr="00166C96">
              <w:t>Ch. 5</w:t>
            </w:r>
          </w:p>
        </w:tc>
        <w:tc>
          <w:tcPr>
            <w:tcW w:w="3240" w:type="dxa"/>
            <w:tcBorders>
              <w:top w:val="single" w:sz="4" w:space="0" w:color="auto"/>
              <w:left w:val="single" w:sz="4" w:space="0" w:color="auto"/>
              <w:bottom w:val="single" w:sz="4" w:space="0" w:color="auto"/>
              <w:right w:val="single" w:sz="4" w:space="0" w:color="auto"/>
            </w:tcBorders>
          </w:tcPr>
          <w:p w:rsidR="00477E24" w:rsidRPr="00166C96" w:rsidRDefault="00477E24"/>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3/3</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Improving Program &amp; Budget Performance</w:t>
            </w:r>
          </w:p>
        </w:tc>
        <w:tc>
          <w:tcPr>
            <w:tcW w:w="1260" w:type="dxa"/>
            <w:tcBorders>
              <w:top w:val="single" w:sz="4" w:space="0" w:color="auto"/>
              <w:left w:val="single" w:sz="4" w:space="0" w:color="auto"/>
              <w:bottom w:val="single" w:sz="4" w:space="0" w:color="auto"/>
              <w:right w:val="single" w:sz="4" w:space="0" w:color="auto"/>
            </w:tcBorders>
          </w:tcPr>
          <w:p w:rsidR="00477E24" w:rsidRPr="00166C96" w:rsidRDefault="00477E24">
            <w:r w:rsidRPr="00166C96">
              <w:t>Ch. 6</w:t>
            </w:r>
          </w:p>
        </w:tc>
        <w:tc>
          <w:tcPr>
            <w:tcW w:w="3240" w:type="dxa"/>
            <w:tcBorders>
              <w:top w:val="single" w:sz="4" w:space="0" w:color="auto"/>
              <w:left w:val="single" w:sz="4" w:space="0" w:color="auto"/>
              <w:bottom w:val="single" w:sz="4" w:space="0" w:color="auto"/>
              <w:right w:val="single" w:sz="4" w:space="0" w:color="auto"/>
            </w:tcBorders>
            <w:hideMark/>
          </w:tcPr>
          <w:p w:rsidR="00477E24" w:rsidRPr="00113D7B" w:rsidRDefault="00477E24" w:rsidP="00477E24">
            <w:pPr>
              <w:tabs>
                <w:tab w:val="left" w:pos="0"/>
                <w:tab w:val="left" w:pos="900"/>
                <w:tab w:val="left" w:pos="990"/>
                <w:tab w:val="left" w:pos="1080"/>
                <w:tab w:val="left" w:pos="1710"/>
              </w:tabs>
            </w:pPr>
            <w:hyperlink r:id="rId15" w:history="1">
              <w:r w:rsidRPr="00477E24">
                <w:rPr>
                  <w:rStyle w:val="Hyperlink"/>
                </w:rPr>
                <w:t>GFOA Awards Criteria</w:t>
              </w:r>
            </w:hyperlink>
          </w:p>
          <w:p w:rsidR="00477E24" w:rsidRDefault="00477E24">
            <w:pPr>
              <w:rPr>
                <w:sz w:val="20"/>
                <w:szCs w:val="20"/>
              </w:rPr>
            </w:pPr>
          </w:p>
        </w:tc>
      </w:tr>
      <w:tr w:rsidR="00470E1F" w:rsidTr="00470E1F">
        <w:tc>
          <w:tcPr>
            <w:tcW w:w="801" w:type="dxa"/>
            <w:tcBorders>
              <w:top w:val="single" w:sz="4" w:space="0" w:color="auto"/>
              <w:left w:val="single" w:sz="4" w:space="0" w:color="auto"/>
              <w:bottom w:val="single" w:sz="4" w:space="0" w:color="auto"/>
              <w:right w:val="single" w:sz="4" w:space="0" w:color="auto"/>
            </w:tcBorders>
          </w:tcPr>
          <w:p w:rsidR="00470E1F" w:rsidRDefault="00470E1F">
            <w:r>
              <w:t>3/10</w:t>
            </w:r>
          </w:p>
        </w:tc>
        <w:tc>
          <w:tcPr>
            <w:tcW w:w="7233" w:type="dxa"/>
            <w:gridSpan w:val="3"/>
            <w:tcBorders>
              <w:top w:val="single" w:sz="4" w:space="0" w:color="auto"/>
              <w:left w:val="single" w:sz="4" w:space="0" w:color="auto"/>
              <w:bottom w:val="single" w:sz="4" w:space="0" w:color="auto"/>
              <w:right w:val="single" w:sz="4" w:space="0" w:color="auto"/>
            </w:tcBorders>
          </w:tcPr>
          <w:p w:rsidR="00470E1F" w:rsidRPr="00470E1F" w:rsidRDefault="00470E1F" w:rsidP="00470E1F">
            <w:pPr>
              <w:jc w:val="center"/>
              <w:rPr>
                <w:i/>
              </w:rPr>
            </w:pPr>
            <w:r>
              <w:rPr>
                <w:i/>
              </w:rPr>
              <w:t>Spring Break</w:t>
            </w:r>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3/17</w:t>
            </w:r>
          </w:p>
        </w:tc>
        <w:tc>
          <w:tcPr>
            <w:tcW w:w="2733" w:type="dxa"/>
            <w:tcBorders>
              <w:top w:val="single" w:sz="4" w:space="0" w:color="auto"/>
              <w:left w:val="single" w:sz="4" w:space="0" w:color="auto"/>
              <w:bottom w:val="single" w:sz="4" w:space="0" w:color="auto"/>
              <w:right w:val="single" w:sz="4" w:space="0" w:color="auto"/>
            </w:tcBorders>
          </w:tcPr>
          <w:p w:rsidR="00477E24" w:rsidRDefault="00477E24">
            <w:r>
              <w:t>Capital Budgets</w:t>
            </w:r>
          </w:p>
        </w:tc>
        <w:tc>
          <w:tcPr>
            <w:tcW w:w="1260" w:type="dxa"/>
            <w:tcBorders>
              <w:top w:val="single" w:sz="4" w:space="0" w:color="auto"/>
              <w:left w:val="single" w:sz="4" w:space="0" w:color="auto"/>
              <w:bottom w:val="single" w:sz="4" w:space="0" w:color="auto"/>
              <w:right w:val="single" w:sz="4" w:space="0" w:color="auto"/>
            </w:tcBorders>
          </w:tcPr>
          <w:p w:rsidR="00477E24" w:rsidRDefault="00477E24">
            <w:r>
              <w:t>Ch. 7</w:t>
            </w:r>
          </w:p>
        </w:tc>
        <w:tc>
          <w:tcPr>
            <w:tcW w:w="3240" w:type="dxa"/>
            <w:tcBorders>
              <w:top w:val="single" w:sz="4" w:space="0" w:color="auto"/>
              <w:left w:val="single" w:sz="4" w:space="0" w:color="auto"/>
              <w:bottom w:val="single" w:sz="4" w:space="0" w:color="auto"/>
              <w:right w:val="single" w:sz="4" w:space="0" w:color="auto"/>
            </w:tcBorders>
          </w:tcPr>
          <w:p w:rsidR="00477E24" w:rsidRPr="00166C96" w:rsidRDefault="00477E24">
            <w:r>
              <w:t>CIP Game</w:t>
            </w:r>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3/24</w:t>
            </w:r>
          </w:p>
        </w:tc>
        <w:tc>
          <w:tcPr>
            <w:tcW w:w="2733" w:type="dxa"/>
            <w:tcBorders>
              <w:top w:val="single" w:sz="4" w:space="0" w:color="auto"/>
              <w:left w:val="single" w:sz="4" w:space="0" w:color="auto"/>
              <w:bottom w:val="single" w:sz="4" w:space="0" w:color="auto"/>
              <w:right w:val="single" w:sz="4" w:space="0" w:color="auto"/>
            </w:tcBorders>
          </w:tcPr>
          <w:p w:rsidR="00477E24" w:rsidRDefault="00477E24">
            <w:pPr>
              <w:ind w:left="105" w:hanging="105"/>
            </w:pPr>
          </w:p>
        </w:tc>
        <w:tc>
          <w:tcPr>
            <w:tcW w:w="1260" w:type="dxa"/>
            <w:tcBorders>
              <w:top w:val="single" w:sz="4" w:space="0" w:color="auto"/>
              <w:left w:val="single" w:sz="4" w:space="0" w:color="auto"/>
              <w:bottom w:val="single" w:sz="4" w:space="0" w:color="auto"/>
              <w:right w:val="single" w:sz="4" w:space="0" w:color="auto"/>
            </w:tcBorders>
          </w:tcPr>
          <w:p w:rsidR="00477E24" w:rsidRPr="00166C96" w:rsidRDefault="00477E24">
            <w:r>
              <w:t xml:space="preserve">OH </w:t>
            </w:r>
          </w:p>
        </w:tc>
        <w:tc>
          <w:tcPr>
            <w:tcW w:w="3240" w:type="dxa"/>
            <w:tcBorders>
              <w:top w:val="single" w:sz="4" w:space="0" w:color="auto"/>
              <w:left w:val="single" w:sz="4" w:space="0" w:color="auto"/>
              <w:bottom w:val="single" w:sz="4" w:space="0" w:color="auto"/>
              <w:right w:val="single" w:sz="4" w:space="0" w:color="auto"/>
            </w:tcBorders>
            <w:hideMark/>
          </w:tcPr>
          <w:p w:rsidR="00477E24" w:rsidRDefault="00477E24">
            <w:pPr>
              <w:rPr>
                <w:sz w:val="20"/>
                <w:szCs w:val="20"/>
              </w:rPr>
            </w:pPr>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4/7</w:t>
            </w:r>
          </w:p>
        </w:tc>
        <w:tc>
          <w:tcPr>
            <w:tcW w:w="2733" w:type="dxa"/>
            <w:tcBorders>
              <w:top w:val="single" w:sz="4" w:space="0" w:color="auto"/>
              <w:left w:val="single" w:sz="4" w:space="0" w:color="auto"/>
              <w:bottom w:val="single" w:sz="4" w:space="0" w:color="auto"/>
              <w:right w:val="single" w:sz="4" w:space="0" w:color="auto"/>
            </w:tcBorders>
          </w:tcPr>
          <w:p w:rsidR="00477E24" w:rsidRDefault="00477E24"/>
        </w:tc>
        <w:tc>
          <w:tcPr>
            <w:tcW w:w="1260" w:type="dxa"/>
            <w:tcBorders>
              <w:top w:val="single" w:sz="4" w:space="0" w:color="auto"/>
              <w:left w:val="single" w:sz="4" w:space="0" w:color="auto"/>
              <w:bottom w:val="single" w:sz="4" w:space="0" w:color="auto"/>
              <w:right w:val="single" w:sz="4" w:space="0" w:color="auto"/>
            </w:tcBorders>
          </w:tcPr>
          <w:p w:rsidR="00477E24" w:rsidRDefault="00477E24">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477E24" w:rsidRDefault="00477E24">
            <w:pPr>
              <w:rPr>
                <w:sz w:val="20"/>
                <w:szCs w:val="20"/>
              </w:rPr>
            </w:pPr>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4/14</w:t>
            </w:r>
          </w:p>
        </w:tc>
        <w:tc>
          <w:tcPr>
            <w:tcW w:w="2733" w:type="dxa"/>
            <w:tcBorders>
              <w:top w:val="single" w:sz="4" w:space="0" w:color="auto"/>
              <w:left w:val="single" w:sz="4" w:space="0" w:color="auto"/>
              <w:bottom w:val="single" w:sz="4" w:space="0" w:color="auto"/>
              <w:right w:val="single" w:sz="4" w:space="0" w:color="auto"/>
            </w:tcBorders>
          </w:tcPr>
          <w:p w:rsidR="00477E24" w:rsidRDefault="00477E24"/>
        </w:tc>
        <w:tc>
          <w:tcPr>
            <w:tcW w:w="1260" w:type="dxa"/>
            <w:tcBorders>
              <w:top w:val="single" w:sz="4" w:space="0" w:color="auto"/>
              <w:left w:val="single" w:sz="4" w:space="0" w:color="auto"/>
              <w:bottom w:val="single" w:sz="4" w:space="0" w:color="auto"/>
              <w:right w:val="single" w:sz="4" w:space="0" w:color="auto"/>
            </w:tcBorders>
          </w:tcPr>
          <w:p w:rsidR="00477E24" w:rsidRDefault="00477E24"/>
        </w:tc>
        <w:tc>
          <w:tcPr>
            <w:tcW w:w="3240" w:type="dxa"/>
            <w:tcBorders>
              <w:top w:val="single" w:sz="4" w:space="0" w:color="auto"/>
              <w:left w:val="single" w:sz="4" w:space="0" w:color="auto"/>
              <w:bottom w:val="single" w:sz="4" w:space="0" w:color="auto"/>
              <w:right w:val="single" w:sz="4" w:space="0" w:color="auto"/>
            </w:tcBorders>
          </w:tcPr>
          <w:p w:rsidR="00477E24" w:rsidRDefault="00477E24"/>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0E1F">
            <w:r>
              <w:t>4/21</w:t>
            </w:r>
          </w:p>
        </w:tc>
        <w:tc>
          <w:tcPr>
            <w:tcW w:w="2733" w:type="dxa"/>
            <w:tcBorders>
              <w:top w:val="single" w:sz="4" w:space="0" w:color="auto"/>
              <w:left w:val="single" w:sz="4" w:space="0" w:color="auto"/>
              <w:bottom w:val="single" w:sz="4" w:space="0" w:color="auto"/>
              <w:right w:val="single" w:sz="4" w:space="0" w:color="auto"/>
            </w:tcBorders>
          </w:tcPr>
          <w:p w:rsidR="00477E24" w:rsidRDefault="00477E24">
            <w:pPr>
              <w:ind w:left="105" w:hanging="105"/>
            </w:pPr>
          </w:p>
        </w:tc>
        <w:tc>
          <w:tcPr>
            <w:tcW w:w="1260" w:type="dxa"/>
            <w:tcBorders>
              <w:top w:val="single" w:sz="4" w:space="0" w:color="auto"/>
              <w:left w:val="single" w:sz="4" w:space="0" w:color="auto"/>
              <w:bottom w:val="single" w:sz="4" w:space="0" w:color="auto"/>
              <w:right w:val="single" w:sz="4" w:space="0" w:color="auto"/>
            </w:tcBorders>
          </w:tcPr>
          <w:p w:rsidR="00477E24" w:rsidRDefault="00477E24">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477E24" w:rsidRDefault="00477E24"/>
        </w:tc>
      </w:tr>
      <w:tr w:rsidR="00470E1F" w:rsidTr="00782B3C">
        <w:tc>
          <w:tcPr>
            <w:tcW w:w="801" w:type="dxa"/>
            <w:tcBorders>
              <w:top w:val="single" w:sz="4" w:space="0" w:color="auto"/>
              <w:left w:val="single" w:sz="4" w:space="0" w:color="auto"/>
              <w:bottom w:val="single" w:sz="4" w:space="0" w:color="auto"/>
              <w:right w:val="single" w:sz="4" w:space="0" w:color="auto"/>
            </w:tcBorders>
          </w:tcPr>
          <w:p w:rsidR="00470E1F" w:rsidRDefault="00470E1F">
            <w:r>
              <w:t>4/28</w:t>
            </w:r>
          </w:p>
        </w:tc>
        <w:tc>
          <w:tcPr>
            <w:tcW w:w="7233" w:type="dxa"/>
            <w:gridSpan w:val="3"/>
            <w:tcBorders>
              <w:top w:val="single" w:sz="4" w:space="0" w:color="auto"/>
              <w:left w:val="single" w:sz="4" w:space="0" w:color="auto"/>
              <w:bottom w:val="single" w:sz="4" w:space="0" w:color="auto"/>
              <w:right w:val="single" w:sz="4" w:space="0" w:color="auto"/>
            </w:tcBorders>
          </w:tcPr>
          <w:p w:rsidR="00470E1F" w:rsidRPr="00CC0F65" w:rsidRDefault="00CC0F65" w:rsidP="00CC0F65">
            <w:pPr>
              <w:jc w:val="center"/>
              <w:rPr>
                <w:i/>
              </w:rPr>
            </w:pPr>
            <w:r>
              <w:rPr>
                <w:i/>
              </w:rPr>
              <w:t>Symposium</w:t>
            </w:r>
            <w:bookmarkStart w:id="0" w:name="_GoBack"/>
            <w:bookmarkEnd w:id="0"/>
          </w:p>
        </w:tc>
      </w:tr>
      <w:tr w:rsidR="00477E24" w:rsidTr="00470E1F">
        <w:tc>
          <w:tcPr>
            <w:tcW w:w="801" w:type="dxa"/>
            <w:tcBorders>
              <w:top w:val="single" w:sz="4" w:space="0" w:color="auto"/>
              <w:left w:val="single" w:sz="4" w:space="0" w:color="auto"/>
              <w:bottom w:val="single" w:sz="4" w:space="0" w:color="auto"/>
              <w:right w:val="single" w:sz="4" w:space="0" w:color="auto"/>
            </w:tcBorders>
          </w:tcPr>
          <w:p w:rsidR="00477E24" w:rsidRDefault="00477E24"/>
        </w:tc>
        <w:tc>
          <w:tcPr>
            <w:tcW w:w="7233" w:type="dxa"/>
            <w:gridSpan w:val="3"/>
            <w:tcBorders>
              <w:top w:val="single" w:sz="4" w:space="0" w:color="auto"/>
              <w:left w:val="single" w:sz="4" w:space="0" w:color="auto"/>
              <w:bottom w:val="single" w:sz="4" w:space="0" w:color="auto"/>
              <w:right w:val="single" w:sz="4" w:space="0" w:color="auto"/>
            </w:tcBorders>
            <w:hideMark/>
          </w:tcPr>
          <w:p w:rsidR="00477E24" w:rsidRDefault="00477E24">
            <w:pPr>
              <w:jc w:val="center"/>
              <w:rPr>
                <w:sz w:val="20"/>
                <w:szCs w:val="20"/>
              </w:rPr>
            </w:pPr>
            <w:r>
              <w:rPr>
                <w:i/>
                <w:sz w:val="20"/>
                <w:szCs w:val="20"/>
              </w:rPr>
              <w:t>Finals Week</w:t>
            </w:r>
          </w:p>
        </w:tc>
      </w:tr>
    </w:tbl>
    <w:p w:rsidR="0008390C" w:rsidRDefault="00C80B0D">
      <w:pPr>
        <w:pStyle w:val="Heading3"/>
        <w:rPr>
          <w:rFonts w:eastAsia="Times New Roman"/>
          <w:color w:val="000080"/>
        </w:rPr>
      </w:pPr>
      <w:r>
        <w:rPr>
          <w:rFonts w:eastAsia="Times New Roman"/>
          <w:color w:val="000080"/>
        </w:rPr>
        <w:t>Attendance &amp; Class Participation:</w:t>
      </w:r>
    </w:p>
    <w:p w:rsidR="0008390C" w:rsidRDefault="00C80B0D">
      <w:r>
        <w:t>Students play an important role in educating and challenging each other.  This can only happen if there is consistent attendance.  I expect you to attend, and I may take the class roll.  Unexcused absence (</w:t>
      </w:r>
      <w:r>
        <w:rPr>
          <w:i/>
        </w:rPr>
        <w:t>prior</w:t>
      </w:r>
      <w:r>
        <w:t xml:space="preserve"> notification is required—even if I am not available, voice mail and e-mail always are) can result in loss of points toward one’s grade.  You are paying for this class—make sure to get your “money’s worth.”  Most importantly, this is an excellent foundation of knowledge for future activities, and it is a chance for you to learn, teach, and grow with others.</w:t>
      </w:r>
    </w:p>
    <w:p w:rsidR="0008390C" w:rsidRDefault="00C80B0D">
      <w:pPr>
        <w:pStyle w:val="Heading3"/>
        <w:rPr>
          <w:rFonts w:eastAsia="Times New Roman"/>
          <w:color w:val="000080"/>
        </w:rPr>
      </w:pPr>
      <w:r>
        <w:rPr>
          <w:rFonts w:eastAsia="Times New Roman"/>
          <w:color w:val="000080"/>
        </w:rPr>
        <w:t>Grading:</w:t>
      </w:r>
    </w:p>
    <w:p w:rsidR="00470E1F" w:rsidRDefault="00470E1F">
      <w:r>
        <w:t>Class Participation</w:t>
      </w:r>
      <w:r>
        <w:tab/>
      </w:r>
      <w:r>
        <w:tab/>
      </w:r>
      <w:r>
        <w:tab/>
        <w:t>10</w:t>
      </w:r>
    </w:p>
    <w:p w:rsidR="0008390C" w:rsidRDefault="00470E1F">
      <w:proofErr w:type="gramStart"/>
      <w:r>
        <w:t>4</w:t>
      </w:r>
      <w:r w:rsidR="00C80B0D">
        <w:t xml:space="preserve"> </w:t>
      </w:r>
      <w:r>
        <w:t>Budget Exercise projects</w:t>
      </w:r>
      <w:r w:rsidR="00C80B0D">
        <w:t xml:space="preserve"> @ 1</w:t>
      </w:r>
      <w:r>
        <w:t>0 pts.</w:t>
      </w:r>
      <w:proofErr w:type="gramEnd"/>
      <w:r>
        <w:tab/>
        <w:t>4</w:t>
      </w:r>
      <w:r w:rsidR="00241BA0">
        <w:t>0</w:t>
      </w:r>
    </w:p>
    <w:p w:rsidR="0008390C" w:rsidRDefault="00241BA0">
      <w:r>
        <w:t>Class Presentation</w:t>
      </w:r>
      <w:r>
        <w:tab/>
      </w:r>
      <w:r>
        <w:tab/>
      </w:r>
      <w:r>
        <w:tab/>
      </w:r>
      <w:r w:rsidR="00C80B0D">
        <w:t>25</w:t>
      </w:r>
    </w:p>
    <w:p w:rsidR="0008390C" w:rsidRDefault="00241BA0">
      <w:r>
        <w:t>Symposium Paper</w:t>
      </w:r>
      <w:r w:rsidR="00C80B0D">
        <w:tab/>
      </w:r>
      <w:r w:rsidR="00C80B0D">
        <w:tab/>
        <w:t xml:space="preserve">  </w:t>
      </w:r>
      <w:r>
        <w:tab/>
        <w:t>2</w:t>
      </w:r>
      <w:r w:rsidR="00C80B0D">
        <w:t>5</w:t>
      </w:r>
    </w:p>
    <w:p w:rsidR="0008390C" w:rsidRDefault="0008390C"/>
    <w:p w:rsidR="0008390C" w:rsidRDefault="00C80B0D">
      <w:r>
        <w:t>The final grade may be based on a curve, but students can expect at least an A if they achieve 90, a B with 80, etc.</w:t>
      </w:r>
      <w:r>
        <w:br/>
      </w:r>
    </w:p>
    <w:p w:rsidR="0008390C" w:rsidRDefault="00C80B0D">
      <w:pPr>
        <w:pStyle w:val="Heading3"/>
        <w:rPr>
          <w:rFonts w:eastAsia="Times New Roman"/>
          <w:color w:val="000080"/>
        </w:rPr>
      </w:pPr>
      <w:r>
        <w:rPr>
          <w:rFonts w:eastAsia="Times New Roman"/>
          <w:color w:val="000080"/>
        </w:rPr>
        <w:t>Other Matters:</w:t>
      </w:r>
    </w:p>
    <w:p w:rsidR="0008390C" w:rsidRDefault="00C80B0D">
      <w:pPr>
        <w:pStyle w:val="NormalWeb"/>
      </w:pPr>
      <w:r>
        <w:t xml:space="preserve">All assignments are due </w:t>
      </w:r>
      <w:r>
        <w:rPr>
          <w:u w:val="single"/>
        </w:rPr>
        <w:t>on the assigned date</w:t>
      </w:r>
      <w:r>
        <w:t xml:space="preserve">.  Partial credit may be given for assignments that are less than one week late, unless other arrangements have been made </w:t>
      </w:r>
      <w:r>
        <w:rPr>
          <w:i/>
        </w:rPr>
        <w:t>in advance</w:t>
      </w:r>
      <w:r>
        <w:t>.</w:t>
      </w:r>
      <w:r>
        <w:br/>
      </w:r>
      <w:r>
        <w:br/>
        <w:t xml:space="preserve">Written reports are expected to be free of grammatical, spelling, and content errors.  They should be submitted in typewritten, standard formats (APA, MLA, </w:t>
      </w:r>
      <w:proofErr w:type="gramStart"/>
      <w:r>
        <w:t>URSI</w:t>
      </w:r>
      <w:proofErr w:type="gramEnd"/>
      <w:r>
        <w:t xml:space="preserve"> Style Sheets).  You must familiarize yourself with the University’s </w:t>
      </w:r>
      <w:hyperlink r:id="rId16" w:anchor="ah" w:history="1">
        <w:r>
          <w:rPr>
            <w:rStyle w:val="Hyperlink"/>
          </w:rPr>
          <w:t>Academic Honesty Policy</w:t>
        </w:r>
      </w:hyperlink>
      <w:r>
        <w:t xml:space="preserve">.  I encourage you to draw on the ideas of others—but you must also identify when you do so (you </w:t>
      </w:r>
      <w:r>
        <w:rPr>
          <w:i/>
        </w:rPr>
        <w:t xml:space="preserve">gain </w:t>
      </w:r>
      <w:r>
        <w:t>“brownie points” for citing the work of others!).  Plagiarism is a serious breach of academic behavior and will result in an F for the course.</w:t>
      </w:r>
    </w:p>
    <w:p w:rsidR="0008390C" w:rsidRDefault="00C80B0D">
      <w:pPr>
        <w:pStyle w:val="NormalWeb"/>
      </w:pPr>
      <w:r>
        <w:t>I will help you in whatever manner humanly possible.  However, once the semester is over, there is not a great deal I can do.  If there is something that you don’t understand, are having problems with, or need help on, please get in touch with me as early as possible.</w:t>
      </w:r>
    </w:p>
    <w:p w:rsidR="0008390C" w:rsidRDefault="00C80B0D">
      <w:pPr>
        <w:pStyle w:val="NormalWeb"/>
      </w:pPr>
      <w:r>
        <w:t>Every attempt will be made to accommodate students with disabilities.  If you area student with a documented disability, please contact me as early in the semester as possible to discuss the necessary accommodations, and/or contact the Disability Services Office at 507-389-2825 (V) or 1-800-627-3529 (MRS/TTY).</w:t>
      </w:r>
    </w:p>
    <w:p w:rsidR="0008390C" w:rsidRDefault="00C80B0D">
      <w:pPr>
        <w:pStyle w:val="Heading2"/>
        <w:jc w:val="center"/>
        <w:rPr>
          <w:rFonts w:eastAsia="Times New Roman"/>
          <w:color w:val="800080"/>
        </w:rPr>
      </w:pPr>
      <w:r>
        <w:rPr>
          <w:rFonts w:eastAsia="Times New Roman"/>
          <w:color w:val="800080"/>
        </w:rPr>
        <w:t>Bibliography</w:t>
      </w:r>
    </w:p>
    <w:p w:rsidR="0008390C" w:rsidRDefault="00166C96">
      <w:pPr>
        <w:rPr>
          <w:rFonts w:cs="Shruti"/>
          <w:kern w:val="2"/>
        </w:rPr>
      </w:pPr>
      <w:r w:rsidRPr="00E54264">
        <w:rPr>
          <w:rFonts w:cs="Shruti"/>
          <w:kern w:val="2"/>
        </w:rPr>
        <w:t xml:space="preserve">Robert </w:t>
      </w:r>
      <w:proofErr w:type="spellStart"/>
      <w:r w:rsidRPr="00E54264">
        <w:rPr>
          <w:rFonts w:cs="Shruti"/>
          <w:kern w:val="2"/>
        </w:rPr>
        <w:t>Tannenwald</w:t>
      </w:r>
      <w:proofErr w:type="spellEnd"/>
      <w:r w:rsidRPr="00E54264">
        <w:rPr>
          <w:rFonts w:cs="Shruti"/>
          <w:kern w:val="2"/>
        </w:rPr>
        <w:t xml:space="preserve">, </w:t>
      </w:r>
      <w:r>
        <w:rPr>
          <w:rFonts w:cs="Shruti"/>
          <w:kern w:val="2"/>
        </w:rPr>
        <w:t>“</w:t>
      </w:r>
      <w:r w:rsidRPr="00E54264">
        <w:rPr>
          <w:rFonts w:cs="Shruti"/>
          <w:kern w:val="2"/>
        </w:rPr>
        <w:t>Are State and Local Revenue Systems Becoming Obsolete?</w:t>
      </w:r>
      <w:r>
        <w:rPr>
          <w:rFonts w:cs="Shruti"/>
          <w:kern w:val="2"/>
        </w:rPr>
        <w:t xml:space="preserve">”  </w:t>
      </w:r>
      <w:r w:rsidRPr="00E54264">
        <w:rPr>
          <w:rFonts w:cs="Shruti"/>
          <w:i/>
          <w:iCs/>
          <w:kern w:val="2"/>
        </w:rPr>
        <w:t>New England Economic Review</w:t>
      </w:r>
      <w:r w:rsidRPr="00E54264">
        <w:rPr>
          <w:rFonts w:cs="Shruti"/>
          <w:kern w:val="2"/>
        </w:rPr>
        <w:t>, No. 4, 2001, pp. 27-43</w:t>
      </w:r>
    </w:p>
    <w:p w:rsidR="00166C96" w:rsidRDefault="00166C96">
      <w:pPr>
        <w:rPr>
          <w:rFonts w:cs="Shruti"/>
          <w:kern w:val="2"/>
        </w:rPr>
      </w:pPr>
    </w:p>
    <w:p w:rsidR="00166C96" w:rsidRDefault="00166C96" w:rsidP="00166C96">
      <w:pPr>
        <w:tabs>
          <w:tab w:val="left" w:pos="720"/>
          <w:tab w:val="left" w:pos="900"/>
          <w:tab w:val="left" w:pos="990"/>
          <w:tab w:val="left" w:pos="1080"/>
          <w:tab w:val="left" w:pos="1440"/>
          <w:tab w:val="left" w:pos="1710"/>
          <w:tab w:val="left" w:pos="2160"/>
        </w:tabs>
      </w:pPr>
      <w:r w:rsidRPr="00764230">
        <w:t xml:space="preserve">V.O. Key, “The Lack of a Budgetary Theory,” </w:t>
      </w:r>
      <w:r w:rsidRPr="00764230">
        <w:rPr>
          <w:i/>
          <w:iCs/>
        </w:rPr>
        <w:t xml:space="preserve">American Political Science Review </w:t>
      </w:r>
      <w:r w:rsidRPr="00764230">
        <w:t>34 (December 1940): pp. 1137-40.</w:t>
      </w:r>
    </w:p>
    <w:p w:rsidR="00166C96" w:rsidRPr="00764230" w:rsidRDefault="00166C96" w:rsidP="00166C96">
      <w:pPr>
        <w:tabs>
          <w:tab w:val="left" w:pos="720"/>
          <w:tab w:val="left" w:pos="900"/>
          <w:tab w:val="left" w:pos="990"/>
          <w:tab w:val="left" w:pos="1080"/>
          <w:tab w:val="left" w:pos="1440"/>
          <w:tab w:val="left" w:pos="1710"/>
          <w:tab w:val="left" w:pos="2160"/>
        </w:tabs>
      </w:pPr>
    </w:p>
    <w:p w:rsidR="00166C96" w:rsidRPr="00764230" w:rsidRDefault="00166C96" w:rsidP="00166C96">
      <w:pPr>
        <w:tabs>
          <w:tab w:val="left" w:pos="720"/>
          <w:tab w:val="left" w:pos="900"/>
          <w:tab w:val="left" w:pos="1440"/>
          <w:tab w:val="left" w:pos="1710"/>
          <w:tab w:val="left" w:pos="2160"/>
        </w:tabs>
      </w:pPr>
      <w:r w:rsidRPr="00764230">
        <w:t xml:space="preserve">R. Gregory Michel, "The Budget Analyst: Skills, Training, and Compensation." </w:t>
      </w:r>
      <w:proofErr w:type="gramStart"/>
      <w:r w:rsidRPr="00764230">
        <w:rPr>
          <w:i/>
          <w:iCs/>
        </w:rPr>
        <w:t>Government Finance Review</w:t>
      </w:r>
      <w:r w:rsidRPr="00764230">
        <w:t>.</w:t>
      </w:r>
      <w:proofErr w:type="gramEnd"/>
      <w:r w:rsidRPr="00764230">
        <w:t xml:space="preserve"> December 2002, pp. 18-21.</w:t>
      </w:r>
    </w:p>
    <w:p w:rsidR="00166C96" w:rsidRDefault="00166C96"/>
    <w:p w:rsidR="00166C96" w:rsidRDefault="00166C96" w:rsidP="00166C96">
      <w:pPr>
        <w:tabs>
          <w:tab w:val="left" w:pos="0"/>
          <w:tab w:val="left" w:pos="720"/>
          <w:tab w:val="left" w:pos="1080"/>
          <w:tab w:val="left" w:pos="1710"/>
        </w:tabs>
      </w:pPr>
      <w:r w:rsidRPr="00764230">
        <w:t xml:space="preserve">Charles E. </w:t>
      </w:r>
      <w:proofErr w:type="spellStart"/>
      <w:r w:rsidRPr="00764230">
        <w:t>Lindblom</w:t>
      </w:r>
      <w:proofErr w:type="spellEnd"/>
      <w:r w:rsidRPr="00764230">
        <w:t xml:space="preserve">, “The Science of ‘Muddling Through,’” </w:t>
      </w:r>
      <w:r w:rsidRPr="00764230">
        <w:rPr>
          <w:i/>
          <w:iCs/>
        </w:rPr>
        <w:t xml:space="preserve">Public </w:t>
      </w:r>
      <w:r>
        <w:rPr>
          <w:i/>
          <w:iCs/>
        </w:rPr>
        <w:t>A</w:t>
      </w:r>
      <w:r w:rsidRPr="00764230">
        <w:rPr>
          <w:i/>
          <w:iCs/>
        </w:rPr>
        <w:t xml:space="preserve">dministration Review </w:t>
      </w:r>
      <w:r w:rsidRPr="00764230">
        <w:t>19 (Spring 1959): 79-88.</w:t>
      </w:r>
    </w:p>
    <w:p w:rsidR="00166C96" w:rsidRDefault="00166C96" w:rsidP="00166C96">
      <w:pPr>
        <w:tabs>
          <w:tab w:val="left" w:pos="0"/>
          <w:tab w:val="left" w:pos="720"/>
          <w:tab w:val="left" w:pos="1080"/>
          <w:tab w:val="left" w:pos="1710"/>
        </w:tabs>
      </w:pPr>
    </w:p>
    <w:p w:rsidR="00166C96" w:rsidRPr="00764230" w:rsidRDefault="00166C96" w:rsidP="00166C96">
      <w:pPr>
        <w:tabs>
          <w:tab w:val="left" w:pos="0"/>
          <w:tab w:val="left" w:pos="720"/>
          <w:tab w:val="left" w:pos="990"/>
          <w:tab w:val="left" w:pos="1710"/>
        </w:tabs>
      </w:pPr>
      <w:r w:rsidRPr="00764230">
        <w:t xml:space="preserve">Eric R. Johnson, “Recommended Budget Practices: Incorporating Stakeholders </w:t>
      </w:r>
      <w:proofErr w:type="gramStart"/>
      <w:r w:rsidRPr="00764230">
        <w:t>Into</w:t>
      </w:r>
      <w:proofErr w:type="gramEnd"/>
      <w:r w:rsidRPr="00764230">
        <w:t xml:space="preserve"> the Process,” </w:t>
      </w:r>
      <w:r w:rsidRPr="00764230">
        <w:rPr>
          <w:i/>
          <w:iCs/>
        </w:rPr>
        <w:t>Government Finance Review</w:t>
      </w:r>
      <w:r w:rsidRPr="00764230">
        <w:t xml:space="preserve"> 14 (August 1998): 15-18.</w:t>
      </w:r>
    </w:p>
    <w:p w:rsidR="00166C96" w:rsidRPr="00764230" w:rsidRDefault="00166C96" w:rsidP="00166C96">
      <w:pPr>
        <w:tabs>
          <w:tab w:val="left" w:pos="0"/>
          <w:tab w:val="left" w:pos="900"/>
          <w:tab w:val="left" w:pos="990"/>
          <w:tab w:val="left" w:pos="1080"/>
          <w:tab w:val="left" w:pos="1710"/>
        </w:tabs>
      </w:pPr>
    </w:p>
    <w:p w:rsidR="00166C96" w:rsidRPr="00764230" w:rsidRDefault="00166C96" w:rsidP="00166C96">
      <w:pPr>
        <w:tabs>
          <w:tab w:val="left" w:pos="0"/>
          <w:tab w:val="left" w:pos="720"/>
          <w:tab w:val="left" w:pos="1080"/>
          <w:tab w:val="left" w:pos="1710"/>
        </w:tabs>
      </w:pPr>
    </w:p>
    <w:p w:rsidR="0008390C" w:rsidRDefault="0008390C">
      <w:pPr>
        <w:rPr>
          <w:u w:val="single"/>
        </w:rPr>
      </w:pPr>
    </w:p>
    <w:p w:rsidR="0008390C" w:rsidRDefault="00CA1F2D">
      <w:pPr>
        <w:jc w:val="center"/>
      </w:pPr>
      <w:r>
        <w:pict>
          <v:rect id="_x0000_i1026" style="width:468pt;height:1.5pt" o:hralign="center" o:hrstd="t" o:hr="t" fillcolor="#a0a0a0" stroked="f"/>
        </w:pict>
      </w:r>
    </w:p>
    <w:tbl>
      <w:tblPr>
        <w:tblW w:w="3000" w:type="pct"/>
        <w:jc w:val="center"/>
        <w:tblCellSpacing w:w="15" w:type="dxa"/>
        <w:tblBorders>
          <w:top w:val="outset" w:sz="36" w:space="0" w:color="auto"/>
          <w:left w:val="outset" w:sz="36" w:space="0" w:color="auto"/>
          <w:bottom w:val="outset" w:sz="36" w:space="0" w:color="auto"/>
          <w:right w:val="outset" w:sz="36" w:space="0" w:color="auto"/>
        </w:tblBorders>
        <w:tblLook w:val="04A0" w:firstRow="1" w:lastRow="0" w:firstColumn="1" w:lastColumn="0" w:noHBand="0" w:noVBand="1"/>
      </w:tblPr>
      <w:tblGrid>
        <w:gridCol w:w="1357"/>
        <w:gridCol w:w="1328"/>
        <w:gridCol w:w="1326"/>
        <w:gridCol w:w="1245"/>
      </w:tblGrid>
      <w:tr w:rsidR="0008390C">
        <w:trPr>
          <w:tblCellSpacing w:w="15" w:type="dxa"/>
          <w:jc w:val="center"/>
        </w:trPr>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390C" w:rsidRDefault="00C80B0D">
            <w:pPr>
              <w:jc w:val="center"/>
            </w:pPr>
            <w:r>
              <w:rPr>
                <w:noProof/>
                <w:color w:val="0000FF"/>
              </w:rPr>
              <w:drawing>
                <wp:inline distT="0" distB="0" distL="0" distR="0">
                  <wp:extent cx="762000" cy="333375"/>
                  <wp:effectExtent l="0" t="0" r="0" b="9525"/>
                  <wp:docPr id="4" name="Picture 4" descr="Description: Description: Description: Description: Description: Description: Description: Description: Description: Description: Description: C:\Documents and Settings\tony\My Documents\COURSES\URBS 230\230syl_files\comme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C:\Documents and Settings\tony\My Documents\COURSES\URBS 230\230syl_files\comment.jpg">
                            <a:hlinkClick r:id="rId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390C" w:rsidRDefault="00C80B0D">
            <w:pPr>
              <w:jc w:val="center"/>
            </w:pPr>
            <w:r>
              <w:rPr>
                <w:noProof/>
                <w:color w:val="0000FF"/>
              </w:rPr>
              <w:drawing>
                <wp:inline distT="0" distB="0" distL="0" distR="0">
                  <wp:extent cx="762000" cy="333375"/>
                  <wp:effectExtent l="0" t="0" r="0" b="9525"/>
                  <wp:docPr id="5" name="Picture 5" descr="Description: Description: Description: Description: Description: Description: Description: Description: Description: Description: Description: C:\Documents and Settings\tony\My Documents\COURSES\URBS 230\230syl_files\syllab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C:\Documents and Settings\tony\My Documents\COURSES\URBS 230\230syl_files\syllabi.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390C" w:rsidRDefault="00C80B0D">
            <w:pPr>
              <w:jc w:val="center"/>
            </w:pPr>
            <w:r>
              <w:rPr>
                <w:noProof/>
              </w:rPr>
              <mc:AlternateContent>
                <mc:Choice Requires="wps">
                  <w:drawing>
                    <wp:inline distT="0" distB="0" distL="0" distR="0">
                      <wp:extent cx="752475" cy="361950"/>
                      <wp:effectExtent l="0" t="0" r="0" b="0"/>
                      <wp:docPr id="2" name="Picture 6" descr="Description: URSI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 o:spid="_x0000_s1026" alt="Description: URSI Logo" href="http://sbs.mnsu.edu/ursi/" style="width:59.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" o:button="t" filled="f" stroked="f">
                      <v:fill o:detectmouseclick="t"/>
                      <o:lock v:ext="edit" aspectratio="t"/>
                      <w10:anchorlock/>
                    </v:rect>
                  </w:pict>
                </mc:Fallback>
              </mc:AlternateConten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8390C" w:rsidRDefault="00CA1F2D">
            <w:pPr>
              <w:jc w:val="center"/>
            </w:pPr>
            <w:hyperlink r:id="rId21" w:history="1">
              <w:r w:rsidR="00C80B0D">
                <w:rPr>
                  <w:rStyle w:val="Hyperlink"/>
                </w:rPr>
                <w:t>MSU</w:t>
              </w:r>
            </w:hyperlink>
          </w:p>
        </w:tc>
      </w:tr>
    </w:tbl>
    <w:p w:rsidR="0008390C" w:rsidRDefault="00C80B0D">
      <w:pPr>
        <w:jc w:val="center"/>
      </w:pPr>
      <w:r>
        <w:rPr>
          <w:sz w:val="15"/>
          <w:szCs w:val="15"/>
        </w:rPr>
        <w:t>©</w:t>
      </w:r>
      <w:r w:rsidR="00166C96">
        <w:rPr>
          <w:sz w:val="15"/>
          <w:szCs w:val="15"/>
        </w:rPr>
        <w:t xml:space="preserve"> 2007 </w:t>
      </w:r>
      <w:proofErr w:type="spellStart"/>
      <w:r w:rsidR="00166C96">
        <w:rPr>
          <w:sz w:val="15"/>
          <w:szCs w:val="15"/>
        </w:rPr>
        <w:t>A.J.Filipovitch</w:t>
      </w:r>
      <w:proofErr w:type="spellEnd"/>
      <w:r w:rsidR="00166C96">
        <w:rPr>
          <w:sz w:val="15"/>
          <w:szCs w:val="15"/>
        </w:rPr>
        <w:br/>
        <w:t>Revised 16</w:t>
      </w:r>
      <w:r>
        <w:rPr>
          <w:sz w:val="15"/>
          <w:szCs w:val="15"/>
        </w:rPr>
        <w:t xml:space="preserve"> </w:t>
      </w:r>
      <w:r w:rsidR="00166C96">
        <w:rPr>
          <w:sz w:val="15"/>
          <w:szCs w:val="15"/>
        </w:rPr>
        <w:t>September</w:t>
      </w:r>
      <w:r>
        <w:rPr>
          <w:sz w:val="15"/>
          <w:szCs w:val="15"/>
        </w:rPr>
        <w:t xml:space="preserve"> 2013</w:t>
      </w:r>
    </w:p>
    <w:p w:rsidR="00C80B0D" w:rsidRDefault="00C80B0D">
      <w:pPr>
        <w:pStyle w:val="NormalWeb"/>
      </w:pPr>
    </w:p>
    <w:sectPr w:rsidR="00C80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2AB"/>
    <w:multiLevelType w:val="multilevel"/>
    <w:tmpl w:val="EAA45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D65E0"/>
    <w:multiLevelType w:val="hybridMultilevel"/>
    <w:tmpl w:val="FFDEA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976DE"/>
    <w:multiLevelType w:val="hybridMultilevel"/>
    <w:tmpl w:val="0810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A1F64"/>
    <w:multiLevelType w:val="hybridMultilevel"/>
    <w:tmpl w:val="C91E3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9BE2EA9"/>
    <w:multiLevelType w:val="multilevel"/>
    <w:tmpl w:val="7822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5C209E"/>
    <w:multiLevelType w:val="hybridMultilevel"/>
    <w:tmpl w:val="0B0C0DF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16A02"/>
    <w:rsid w:val="00066E88"/>
    <w:rsid w:val="00072506"/>
    <w:rsid w:val="0008390C"/>
    <w:rsid w:val="00111B1A"/>
    <w:rsid w:val="00166C96"/>
    <w:rsid w:val="002057E0"/>
    <w:rsid w:val="00241BA0"/>
    <w:rsid w:val="00470E1F"/>
    <w:rsid w:val="00477E24"/>
    <w:rsid w:val="005A197F"/>
    <w:rsid w:val="00771F76"/>
    <w:rsid w:val="007F2EC2"/>
    <w:rsid w:val="00834FF9"/>
    <w:rsid w:val="00876AD3"/>
    <w:rsid w:val="00905B6D"/>
    <w:rsid w:val="00A13426"/>
    <w:rsid w:val="00C16A02"/>
    <w:rsid w:val="00C64DFC"/>
    <w:rsid w:val="00C80B0D"/>
    <w:rsid w:val="00CC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qFormat/>
    <w:pPr>
      <w:keepNext/>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szCs w:val="24"/>
    </w:rPr>
  </w:style>
  <w:style w:type="character" w:customStyle="1" w:styleId="NormalWebChar">
    <w:name w:val="Normal (Web) Char"/>
    <w:basedOn w:val="DefaultParagraphFont"/>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qFormat/>
    <w:pPr>
      <w:keepNext/>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szCs w:val="24"/>
    </w:rPr>
  </w:style>
  <w:style w:type="character" w:customStyle="1" w:styleId="NormalWebChar">
    <w:name w:val="Normal (Web) Char"/>
    <w:basedOn w:val="DefaultParagraphFont"/>
    <w:link w:val="NormalWeb"/>
    <w:locked/>
    <w:rPr>
      <w:sz w:val="24"/>
      <w:szCs w:val="24"/>
      <w:lang w:val="en-US" w:eastAsia="en-US" w:bidi="ar-SA"/>
    </w:rPr>
  </w:style>
  <w:style w:type="paragraph" w:styleId="NormalWeb">
    <w:name w:val="Normal (Web)"/>
    <w:basedOn w:val="Normal"/>
    <w:link w:val="NormalWebChar"/>
    <w:pPr>
      <w:spacing w:before="100" w:beforeAutospacing="1" w:after="100" w:afterAutospacing="1"/>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mnsu.edu" TargetMode="External"/><Relationship Id="rId13" Type="http://schemas.openxmlformats.org/officeDocument/2006/relationships/hyperlink" Target="http://bookstore.icma.org/FreeDocs/43470/Excel_Exercise_2_Instructions.doc" TargetMode="External"/><Relationship Id="rId18" Type="http://schemas.openxmlformats.org/officeDocument/2006/relationships/hyperlink" Target="http://krypton.mnsu.edu/~tony/webpage/courses.html" TargetMode="External"/><Relationship Id="rId3" Type="http://schemas.openxmlformats.org/officeDocument/2006/relationships/styles" Target="styles.xml"/><Relationship Id="rId21" Type="http://schemas.openxmlformats.org/officeDocument/2006/relationships/hyperlink" Target="http://www.mnsu.edu/" TargetMode="External"/><Relationship Id="rId7" Type="http://schemas.openxmlformats.org/officeDocument/2006/relationships/image" Target="media/image1.png"/><Relationship Id="rId12" Type="http://schemas.openxmlformats.org/officeDocument/2006/relationships/hyperlink" Target="http://bookstore.icma.org/FreeDocs/43470/Excel_Exercise_1_Instructions.doc"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mnsu.edu/supersite/administration/basic-stuff/policies.html" TargetMode="External"/><Relationship Id="rId20" Type="http://schemas.openxmlformats.org/officeDocument/2006/relationships/hyperlink" Target="http://sbs.mnsu.edu/ur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a.state.mn.us/other/ctas/docs/ctas_coa.pdf" TargetMode="External"/><Relationship Id="rId5" Type="http://schemas.openxmlformats.org/officeDocument/2006/relationships/settings" Target="settings.xml"/><Relationship Id="rId15" Type="http://schemas.openxmlformats.org/officeDocument/2006/relationships/hyperlink" Target="http://www.gfoa.org/downloads/BudgetCriteriaExplanations_000.pdf" TargetMode="External"/><Relationship Id="rId23" Type="http://schemas.openxmlformats.org/officeDocument/2006/relationships/theme" Target="theme/theme1.xml"/><Relationship Id="rId10" Type="http://schemas.openxmlformats.org/officeDocument/2006/relationships/hyperlink" Target="http://www.gfoa.org/downloads/InterpFinStatementsGFR_jun07.pdf" TargetMode="Externa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krypton.mnsu.edu/~tony/office%20hours.html" TargetMode="External"/><Relationship Id="rId14" Type="http://schemas.openxmlformats.org/officeDocument/2006/relationships/hyperlink" Target="http://bookstore.icma.org/FreeDocs/43470/Excel_Exercise_3_Instructions.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7DB9-E079-425B-BE0E-22DFC084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URBS 230 Syllabus</vt:lpstr>
    </vt:vector>
  </TitlesOfParts>
  <Company>MSU, M</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URBS 230 Syllabus</dc:title>
  <dc:creator>anthonyf</dc:creator>
  <cp:lastModifiedBy>admin</cp:lastModifiedBy>
  <cp:revision>2</cp:revision>
  <cp:lastPrinted>2011-01-05T20:39:00Z</cp:lastPrinted>
  <dcterms:created xsi:type="dcterms:W3CDTF">2013-09-16T17:53:00Z</dcterms:created>
  <dcterms:modified xsi:type="dcterms:W3CDTF">2013-09-16T17:53:00Z</dcterms:modified>
</cp:coreProperties>
</file>